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EF4CD" w14:textId="77777777" w:rsidR="00C41F5F" w:rsidRDefault="00832B23">
      <w:pPr>
        <w:tabs>
          <w:tab w:val="center" w:pos="4536"/>
          <w:tab w:val="right" w:pos="9639"/>
        </w:tabs>
        <w:snapToGrid w:val="0"/>
        <w:spacing w:beforeLines="0" w:afterLines="0" w:after="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b/>
          <w:bCs/>
          <w:sz w:val="22"/>
          <w:szCs w:val="22"/>
        </w:rPr>
        <w:t>23</w:t>
      </w:r>
      <w:r>
        <w:rPr>
          <w:rFonts w:ascii="Arial" w:hAnsi="Arial" w:cs="Arial"/>
          <w:b/>
          <w:bCs/>
          <w:sz w:val="22"/>
          <w:szCs w:val="22"/>
          <w:lang w:eastAsia="ja-JP"/>
        </w:rPr>
        <w:tab/>
      </w:r>
      <w:r>
        <w:rPr>
          <w:rFonts w:ascii="Arial" w:hAnsi="Arial" w:cs="Arial"/>
          <w:b/>
          <w:bCs/>
          <w:sz w:val="22"/>
          <w:szCs w:val="22"/>
          <w:lang w:eastAsia="ja-JP"/>
        </w:rPr>
        <w:tab/>
        <w:t xml:space="preserve">                                   R1-25</w:t>
      </w:r>
      <w:r>
        <w:rPr>
          <w:rFonts w:ascii="Arial" w:hAnsi="Arial" w:cs="Arial"/>
          <w:b/>
          <w:bCs/>
          <w:sz w:val="22"/>
          <w:szCs w:val="22"/>
        </w:rPr>
        <w:t>08855</w:t>
      </w:r>
    </w:p>
    <w:p w14:paraId="00A22C93" w14:textId="430CE5C0" w:rsidR="00C41F5F" w:rsidRDefault="00832B23">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r>
        <w:rPr>
          <w:rFonts w:ascii="Arial" w:hAnsi="Arial" w:cs="Arial"/>
          <w:b/>
          <w:bCs/>
          <w:sz w:val="22"/>
          <w:szCs w:val="22"/>
          <w:lang w:val="de-DE"/>
        </w:rPr>
        <w:t>Dallas</w:t>
      </w:r>
      <w:r>
        <w:rPr>
          <w:rFonts w:ascii="Arial" w:hAnsi="Arial" w:cs="Arial"/>
          <w:b/>
          <w:bCs/>
          <w:sz w:val="22"/>
          <w:szCs w:val="22"/>
          <w:lang w:val="de-DE"/>
        </w:rPr>
        <w:t>, USA, Nov</w:t>
      </w:r>
      <w:r>
        <w:rPr>
          <w:rFonts w:ascii="Arial" w:hAnsi="Arial" w:cs="Arial" w:hint="eastAsia"/>
          <w:b/>
          <w:bCs/>
          <w:sz w:val="22"/>
          <w:szCs w:val="22"/>
          <w:lang w:val="de-DE"/>
        </w:rPr>
        <w:t xml:space="preserve"> 1</w:t>
      </w:r>
      <w:r>
        <w:rPr>
          <w:rFonts w:ascii="Arial" w:hAnsi="Arial" w:cs="Arial"/>
          <w:b/>
          <w:bCs/>
          <w:sz w:val="22"/>
          <w:szCs w:val="22"/>
          <w:lang w:val="de-DE"/>
        </w:rPr>
        <w:t>7</w:t>
      </w:r>
      <w:r>
        <w:rPr>
          <w:rFonts w:ascii="Arial" w:hAnsi="Arial" w:cs="Arial" w:hint="eastAsia"/>
          <w:b/>
          <w:bCs/>
          <w:sz w:val="22"/>
          <w:szCs w:val="22"/>
          <w:vertAlign w:val="superscript"/>
          <w:lang w:val="de-DE"/>
        </w:rPr>
        <w:t>th</w:t>
      </w:r>
      <w:r>
        <w:rPr>
          <w:rFonts w:ascii="Arial" w:hAnsi="Arial" w:cs="Arial"/>
          <w:b/>
          <w:bCs/>
          <w:sz w:val="22"/>
          <w:szCs w:val="22"/>
          <w:lang w:val="de-DE"/>
        </w:rPr>
        <w:t xml:space="preserve"> – 21</w:t>
      </w:r>
      <w:r>
        <w:rPr>
          <w:rFonts w:ascii="Arial" w:hAnsi="Arial" w:cs="Arial"/>
          <w:b/>
          <w:bCs/>
          <w:sz w:val="22"/>
          <w:szCs w:val="22"/>
          <w:vertAlign w:val="superscript"/>
          <w:lang w:val="de-DE"/>
        </w:rPr>
        <w:t>st</w:t>
      </w:r>
      <w:r>
        <w:rPr>
          <w:rFonts w:ascii="Arial" w:hAnsi="Arial" w:cs="Arial"/>
          <w:b/>
          <w:bCs/>
          <w:sz w:val="22"/>
          <w:szCs w:val="22"/>
          <w:lang w:val="de-DE"/>
        </w:rPr>
        <w:t>, 2025</w:t>
      </w:r>
    </w:p>
    <w:p w14:paraId="6894BD8B" w14:textId="77777777" w:rsidR="00C41F5F" w:rsidRDefault="00C41F5F">
      <w:pPr>
        <w:tabs>
          <w:tab w:val="left" w:pos="1985"/>
        </w:tabs>
        <w:snapToGrid w:val="0"/>
        <w:spacing w:beforeLines="0" w:afterLines="0" w:after="0" w:line="240" w:lineRule="auto"/>
        <w:ind w:left="1987" w:hanging="1987"/>
        <w:rPr>
          <w:rFonts w:ascii="Arial" w:eastAsia="MS Mincho" w:hAnsi="Arial" w:cs="Arial"/>
          <w:b/>
          <w:bCs/>
          <w:sz w:val="22"/>
          <w:szCs w:val="22"/>
          <w:lang w:eastAsia="ja-JP"/>
        </w:rPr>
      </w:pPr>
    </w:p>
    <w:p w14:paraId="2D387BE7" w14:textId="77777777" w:rsidR="00C41F5F" w:rsidRDefault="00832B23">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 xml:space="preserve">High-level views on 6GR </w:t>
      </w:r>
    </w:p>
    <w:p w14:paraId="6AF61C44" w14:textId="77777777" w:rsidR="00C41F5F" w:rsidRDefault="00832B23">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ZTE Corporation, Sanechips</w:t>
      </w:r>
    </w:p>
    <w:p w14:paraId="7EA74440" w14:textId="77777777" w:rsidR="00C41F5F" w:rsidRDefault="00832B23">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11.1</w:t>
      </w:r>
    </w:p>
    <w:p w14:paraId="71F24CA6" w14:textId="77777777" w:rsidR="00C41F5F" w:rsidRDefault="00832B23">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14:paraId="777370D1"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14:paraId="22BBED26" w14:textId="77777777" w:rsidR="00C41F5F" w:rsidRDefault="00832B23">
      <w:pPr>
        <w:adjustRightInd w:val="0"/>
        <w:snapToGrid w:val="0"/>
        <w:spacing w:before="120" w:after="120" w:line="240" w:lineRule="auto"/>
        <w:rPr>
          <w:sz w:val="20"/>
        </w:rPr>
      </w:pPr>
      <w:r>
        <w:rPr>
          <w:sz w:val="20"/>
        </w:rPr>
        <w:t xml:space="preserve">In RAN#108, the 6G SID “New SID: Study on 6G Radio” was approved </w:t>
      </w:r>
      <w:r>
        <w:rPr>
          <w:sz w:val="20"/>
          <w:highlight w:val="cyan"/>
        </w:rPr>
        <w:fldChar w:fldCharType="begin"/>
      </w:r>
      <w:r>
        <w:rPr>
          <w:sz w:val="20"/>
        </w:rPr>
        <w:instrText xml:space="preserve"> REF _Ref205756399 \r \h </w:instrText>
      </w:r>
      <w:r>
        <w:rPr>
          <w:sz w:val="20"/>
          <w:highlight w:val="cyan"/>
        </w:rPr>
      </w:r>
      <w:r>
        <w:rPr>
          <w:sz w:val="20"/>
          <w:highlight w:val="cyan"/>
        </w:rPr>
        <w:fldChar w:fldCharType="separate"/>
      </w:r>
      <w:r>
        <w:rPr>
          <w:sz w:val="20"/>
        </w:rPr>
        <w:t>[1]</w:t>
      </w:r>
      <w:r>
        <w:rPr>
          <w:sz w:val="20"/>
          <w:highlight w:val="cyan"/>
        </w:rPr>
        <w:fldChar w:fldCharType="end"/>
      </w:r>
      <w:r>
        <w:rPr>
          <w:sz w:val="20"/>
        </w:rPr>
        <w:t>. B</w:t>
      </w:r>
      <w:r>
        <w:rPr>
          <w:rFonts w:hint="eastAsia"/>
          <w:sz w:val="20"/>
        </w:rPr>
        <w:t>a</w:t>
      </w:r>
      <w:r>
        <w:rPr>
          <w:sz w:val="20"/>
        </w:rPr>
        <w:t xml:space="preserve">sed on the progress and </w:t>
      </w:r>
      <w:r>
        <w:rPr>
          <w:rFonts w:hint="eastAsia"/>
          <w:sz w:val="20"/>
        </w:rPr>
        <w:t>guidance</w:t>
      </w:r>
      <w:r>
        <w:rPr>
          <w:sz w:val="20"/>
        </w:rPr>
        <w:t xml:space="preserve"> achieved in RAN1#122-bis, i</w:t>
      </w:r>
      <w:r>
        <w:rPr>
          <w:rFonts w:hint="eastAsia"/>
          <w:sz w:val="20"/>
        </w:rPr>
        <w:t xml:space="preserve">n this contribution, </w:t>
      </w:r>
      <w:r>
        <w:rPr>
          <w:sz w:val="20"/>
        </w:rPr>
        <w:t>the high-</w:t>
      </w:r>
      <w:r>
        <w:rPr>
          <w:sz w:val="20"/>
        </w:rPr>
        <w:t xml:space="preserve">level views </w:t>
      </w:r>
      <w:r>
        <w:rPr>
          <w:rFonts w:hint="eastAsia"/>
          <w:sz w:val="20"/>
        </w:rPr>
        <w:t>on t</w:t>
      </w:r>
      <w:r>
        <w:rPr>
          <w:sz w:val="20"/>
        </w:rPr>
        <w:t xml:space="preserve">he overall design of 6G air interface are further </w:t>
      </w:r>
      <w:r>
        <w:rPr>
          <w:rFonts w:hint="eastAsia"/>
          <w:sz w:val="20"/>
        </w:rPr>
        <w:t>elaborated</w:t>
      </w:r>
      <w:r>
        <w:rPr>
          <w:sz w:val="20"/>
        </w:rPr>
        <w:t xml:space="preserve"> on some aspects, e.g., </w:t>
      </w:r>
      <w:r>
        <w:rPr>
          <w:rFonts w:hint="eastAsia"/>
          <w:sz w:val="20"/>
        </w:rPr>
        <w:t xml:space="preserve">scalable 6GR </w:t>
      </w:r>
      <w:r>
        <w:rPr>
          <w:sz w:val="20"/>
        </w:rPr>
        <w:t>design</w:t>
      </w:r>
      <w:r>
        <w:rPr>
          <w:rFonts w:hint="eastAsia"/>
          <w:sz w:val="20"/>
        </w:rPr>
        <w:t xml:space="preserve"> (e.g., what design is scalable, what design is unscalable), support of minimum spectrum allocation, coverage, MRSS, synchronization sign</w:t>
      </w:r>
      <w:r>
        <w:rPr>
          <w:rFonts w:hint="eastAsia"/>
          <w:sz w:val="20"/>
        </w:rPr>
        <w:t xml:space="preserve">al structure and periodicity, operation of bandwidth/band adaptation, </w:t>
      </w:r>
      <w:r>
        <w:rPr>
          <w:sz w:val="20"/>
        </w:rPr>
        <w:t>spectrum utilization and</w:t>
      </w:r>
      <w:r>
        <w:rPr>
          <w:rFonts w:hint="eastAsia"/>
          <w:sz w:val="20"/>
        </w:rPr>
        <w:t xml:space="preserve"> aggregation framework, harmonization of TN and NTN, and others</w:t>
      </w:r>
      <w:r>
        <w:rPr>
          <w:sz w:val="20"/>
        </w:rPr>
        <w:t>.</w:t>
      </w:r>
      <w:r>
        <w:rPr>
          <w:rFonts w:hint="eastAsia"/>
          <w:sz w:val="20"/>
        </w:rPr>
        <w:t xml:space="preserve"> </w:t>
      </w:r>
    </w:p>
    <w:p w14:paraId="1E85A1F3" w14:textId="77777777" w:rsidR="00C41F5F" w:rsidRDefault="00832B23">
      <w:pPr>
        <w:pStyle w:val="1"/>
        <w:snapToGrid w:val="0"/>
        <w:spacing w:before="120" w:after="120"/>
        <w:ind w:left="0"/>
        <w:rPr>
          <w:rFonts w:ascii="Times New Roman" w:eastAsia="宋体" w:hAnsi="Times New Roman"/>
          <w:b/>
          <w:sz w:val="28"/>
          <w:szCs w:val="28"/>
        </w:rPr>
      </w:pPr>
      <w:r>
        <w:rPr>
          <w:rFonts w:ascii="Times New Roman" w:eastAsia="宋体" w:hAnsi="Times New Roman"/>
          <w:b/>
          <w:bCs/>
          <w:sz w:val="28"/>
          <w:szCs w:val="28"/>
        </w:rPr>
        <w:t>S</w:t>
      </w:r>
      <w:r>
        <w:rPr>
          <w:rFonts w:ascii="Times New Roman" w:hAnsi="Times New Roman"/>
          <w:b/>
          <w:sz w:val="28"/>
          <w:szCs w:val="28"/>
        </w:rPr>
        <w:t>calable 6GR </w:t>
      </w:r>
      <w:r>
        <w:rPr>
          <w:rFonts w:ascii="Times New Roman" w:eastAsia="宋体" w:hAnsi="Times New Roman"/>
          <w:b/>
          <w:sz w:val="28"/>
          <w:szCs w:val="28"/>
        </w:rPr>
        <w:t>design</w:t>
      </w:r>
    </w:p>
    <w:p w14:paraId="07A2A446" w14:textId="77777777" w:rsidR="00C41F5F" w:rsidRDefault="00832B23">
      <w:pPr>
        <w:snapToGrid w:val="0"/>
        <w:spacing w:before="120" w:after="120"/>
        <w:rPr>
          <w:sz w:val="20"/>
        </w:rPr>
      </w:pPr>
      <w:r>
        <w:rPr>
          <w:sz w:val="20"/>
        </w:rPr>
        <w:t>For the scalable design, as highlighted in the SID</w:t>
      </w:r>
      <w:r>
        <w:rPr>
          <w:rFonts w:hint="eastAsia"/>
          <w:sz w:val="20"/>
        </w:rPr>
        <w:t xml:space="preserve">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xml:space="preserve">, it refers </w:t>
      </w:r>
      <w:r>
        <w:rPr>
          <w:rFonts w:hint="eastAsia"/>
          <w:sz w:val="20"/>
        </w:rPr>
        <w:t>to</w:t>
      </w:r>
      <w:r>
        <w:rPr>
          <w:sz w:val="20"/>
        </w:rPr>
        <w:t xml:space="preserve"> the following objective. </w:t>
      </w:r>
    </w:p>
    <w:tbl>
      <w:tblPr>
        <w:tblStyle w:val="af3"/>
        <w:tblW w:w="0" w:type="auto"/>
        <w:tblLook w:val="04A0" w:firstRow="1" w:lastRow="0" w:firstColumn="1" w:lastColumn="0" w:noHBand="0" w:noVBand="1"/>
      </w:tblPr>
      <w:tblGrid>
        <w:gridCol w:w="9650"/>
      </w:tblGrid>
      <w:tr w:rsidR="00C41F5F" w14:paraId="6E7BED4A" w14:textId="77777777">
        <w:trPr>
          <w:hidden/>
        </w:trPr>
        <w:tc>
          <w:tcPr>
            <w:tcW w:w="9650" w:type="dxa"/>
          </w:tcPr>
          <w:p w14:paraId="0584BF5D" w14:textId="77777777" w:rsidR="00C41F5F" w:rsidRDefault="00C41F5F">
            <w:pPr>
              <w:pStyle w:val="af9"/>
              <w:numPr>
                <w:ilvl w:val="0"/>
                <w:numId w:val="8"/>
              </w:numPr>
              <w:overflowPunct w:val="0"/>
              <w:autoSpaceDE w:val="0"/>
              <w:autoSpaceDN w:val="0"/>
              <w:adjustRightInd w:val="0"/>
              <w:snapToGrid w:val="0"/>
              <w:spacing w:before="50" w:afterLines="0" w:after="50"/>
              <w:contextualSpacing w:val="0"/>
              <w:jc w:val="left"/>
              <w:textAlignment w:val="baseline"/>
              <w:rPr>
                <w:vanish/>
                <w:color w:val="000000" w:themeColor="text1"/>
                <w:sz w:val="20"/>
                <w:szCs w:val="20"/>
              </w:rPr>
            </w:pPr>
          </w:p>
          <w:p w14:paraId="50AE1386" w14:textId="77777777" w:rsidR="00C41F5F" w:rsidRDefault="00C41F5F">
            <w:pPr>
              <w:pStyle w:val="af9"/>
              <w:numPr>
                <w:ilvl w:val="1"/>
                <w:numId w:val="8"/>
              </w:numPr>
              <w:overflowPunct w:val="0"/>
              <w:autoSpaceDE w:val="0"/>
              <w:autoSpaceDN w:val="0"/>
              <w:adjustRightInd w:val="0"/>
              <w:snapToGrid w:val="0"/>
              <w:spacing w:before="50" w:afterLines="0" w:after="50"/>
              <w:contextualSpacing w:val="0"/>
              <w:jc w:val="left"/>
              <w:textAlignment w:val="baseline"/>
              <w:rPr>
                <w:vanish/>
                <w:color w:val="000000" w:themeColor="text1"/>
                <w:sz w:val="20"/>
                <w:szCs w:val="20"/>
              </w:rPr>
            </w:pPr>
          </w:p>
          <w:p w14:paraId="412FD31F" w14:textId="77777777" w:rsidR="00C41F5F" w:rsidRDefault="00C41F5F">
            <w:pPr>
              <w:pStyle w:val="af9"/>
              <w:numPr>
                <w:ilvl w:val="1"/>
                <w:numId w:val="8"/>
              </w:numPr>
              <w:overflowPunct w:val="0"/>
              <w:autoSpaceDE w:val="0"/>
              <w:autoSpaceDN w:val="0"/>
              <w:adjustRightInd w:val="0"/>
              <w:snapToGrid w:val="0"/>
              <w:spacing w:before="50" w:afterLines="0" w:after="50"/>
              <w:contextualSpacing w:val="0"/>
              <w:jc w:val="left"/>
              <w:textAlignment w:val="baseline"/>
              <w:rPr>
                <w:vanish/>
                <w:color w:val="000000" w:themeColor="text1"/>
                <w:sz w:val="20"/>
                <w:szCs w:val="20"/>
              </w:rPr>
            </w:pPr>
          </w:p>
          <w:p w14:paraId="62C32520" w14:textId="77777777" w:rsidR="00C41F5F" w:rsidRDefault="00C41F5F">
            <w:pPr>
              <w:pStyle w:val="af9"/>
              <w:numPr>
                <w:ilvl w:val="1"/>
                <w:numId w:val="8"/>
              </w:numPr>
              <w:overflowPunct w:val="0"/>
              <w:autoSpaceDE w:val="0"/>
              <w:autoSpaceDN w:val="0"/>
              <w:adjustRightInd w:val="0"/>
              <w:snapToGrid w:val="0"/>
              <w:spacing w:before="50" w:afterLines="0" w:after="50"/>
              <w:contextualSpacing w:val="0"/>
              <w:jc w:val="left"/>
              <w:textAlignment w:val="baseline"/>
              <w:rPr>
                <w:vanish/>
                <w:color w:val="000000" w:themeColor="text1"/>
                <w:sz w:val="20"/>
                <w:szCs w:val="20"/>
              </w:rPr>
            </w:pPr>
          </w:p>
          <w:p w14:paraId="737426CC" w14:textId="77777777" w:rsidR="00C41F5F" w:rsidRDefault="00C41F5F">
            <w:pPr>
              <w:pStyle w:val="af9"/>
              <w:numPr>
                <w:ilvl w:val="1"/>
                <w:numId w:val="8"/>
              </w:numPr>
              <w:overflowPunct w:val="0"/>
              <w:autoSpaceDE w:val="0"/>
              <w:autoSpaceDN w:val="0"/>
              <w:adjustRightInd w:val="0"/>
              <w:snapToGrid w:val="0"/>
              <w:spacing w:before="50" w:afterLines="0" w:after="50"/>
              <w:contextualSpacing w:val="0"/>
              <w:jc w:val="left"/>
              <w:textAlignment w:val="baseline"/>
              <w:rPr>
                <w:vanish/>
                <w:color w:val="000000" w:themeColor="text1"/>
                <w:sz w:val="20"/>
                <w:szCs w:val="20"/>
              </w:rPr>
            </w:pPr>
          </w:p>
          <w:p w14:paraId="4A0148B5" w14:textId="77777777" w:rsidR="00C41F5F" w:rsidRDefault="00C41F5F">
            <w:pPr>
              <w:pStyle w:val="af9"/>
              <w:numPr>
                <w:ilvl w:val="1"/>
                <w:numId w:val="8"/>
              </w:numPr>
              <w:overflowPunct w:val="0"/>
              <w:autoSpaceDE w:val="0"/>
              <w:autoSpaceDN w:val="0"/>
              <w:adjustRightInd w:val="0"/>
              <w:snapToGrid w:val="0"/>
              <w:spacing w:before="50" w:afterLines="0" w:after="50"/>
              <w:contextualSpacing w:val="0"/>
              <w:jc w:val="left"/>
              <w:textAlignment w:val="baseline"/>
              <w:rPr>
                <w:vanish/>
                <w:color w:val="000000" w:themeColor="text1"/>
                <w:sz w:val="20"/>
                <w:szCs w:val="20"/>
              </w:rPr>
            </w:pPr>
          </w:p>
          <w:p w14:paraId="2E4F3779" w14:textId="77777777" w:rsidR="00C41F5F" w:rsidRDefault="00C41F5F">
            <w:pPr>
              <w:pStyle w:val="af9"/>
              <w:numPr>
                <w:ilvl w:val="1"/>
                <w:numId w:val="8"/>
              </w:numPr>
              <w:overflowPunct w:val="0"/>
              <w:autoSpaceDE w:val="0"/>
              <w:autoSpaceDN w:val="0"/>
              <w:adjustRightInd w:val="0"/>
              <w:snapToGrid w:val="0"/>
              <w:spacing w:before="50" w:afterLines="0" w:after="50"/>
              <w:contextualSpacing w:val="0"/>
              <w:jc w:val="left"/>
              <w:textAlignment w:val="baseline"/>
              <w:rPr>
                <w:vanish/>
                <w:color w:val="000000" w:themeColor="text1"/>
                <w:sz w:val="20"/>
                <w:szCs w:val="20"/>
              </w:rPr>
            </w:pPr>
          </w:p>
          <w:p w14:paraId="300FF021" w14:textId="77777777" w:rsidR="00C41F5F" w:rsidRDefault="00832B23">
            <w:pPr>
              <w:pStyle w:val="af9"/>
              <w:numPr>
                <w:ilvl w:val="1"/>
                <w:numId w:val="8"/>
              </w:numPr>
              <w:overflowPunct w:val="0"/>
              <w:autoSpaceDE w:val="0"/>
              <w:autoSpaceDN w:val="0"/>
              <w:adjustRightInd w:val="0"/>
              <w:snapToGrid w:val="0"/>
              <w:spacing w:before="50" w:afterLines="0" w:after="50"/>
              <w:contextualSpacing w:val="0"/>
              <w:jc w:val="left"/>
              <w:textAlignment w:val="baseline"/>
              <w:rPr>
                <w:color w:val="000000" w:themeColor="text1"/>
                <w:sz w:val="20"/>
              </w:rPr>
            </w:pPr>
            <w:r>
              <w:rPr>
                <w:color w:val="000000" w:themeColor="text1"/>
                <w:sz w:val="20"/>
                <w:szCs w:val="20"/>
              </w:rPr>
              <w:t>Target scalable and forward compatible design for diverse device types.</w:t>
            </w:r>
          </w:p>
        </w:tc>
      </w:tr>
    </w:tbl>
    <w:p w14:paraId="234B1EC7" w14:textId="77777777" w:rsidR="00C41F5F" w:rsidRDefault="00832B23">
      <w:pPr>
        <w:snapToGrid w:val="0"/>
        <w:spacing w:before="120" w:after="120"/>
        <w:rPr>
          <w:b/>
          <w:bCs/>
          <w:sz w:val="20"/>
          <w:szCs w:val="28"/>
        </w:rPr>
      </w:pPr>
      <w:r>
        <w:rPr>
          <w:sz w:val="20"/>
        </w:rPr>
        <w:t xml:space="preserve">Then, compressive </w:t>
      </w:r>
      <w:r>
        <w:rPr>
          <w:sz w:val="20"/>
        </w:rPr>
        <w:t>analysis and identification of the key aspects at least from UE/device perspective is expected to investigate the details of scalable design, e.g., what design is scalable, what design is unscalable.</w:t>
      </w:r>
    </w:p>
    <w:p w14:paraId="13E88B8B" w14:textId="77777777" w:rsidR="00C41F5F" w:rsidRDefault="00832B23">
      <w:pPr>
        <w:snapToGrid w:val="0"/>
        <w:spacing w:before="120" w:after="120"/>
        <w:rPr>
          <w:sz w:val="20"/>
        </w:rPr>
      </w:pPr>
      <w:r>
        <w:rPr>
          <w:sz w:val="20"/>
        </w:rPr>
        <w:t xml:space="preserve">For the UE/device type, in 5G, as shown in </w:t>
      </w:r>
      <w:r>
        <w:rPr>
          <w:rFonts w:hint="eastAsia"/>
          <w:sz w:val="20"/>
        </w:rPr>
        <w:t xml:space="preserve">Figure </w:t>
      </w:r>
      <w:r>
        <w:rPr>
          <w:sz w:val="20"/>
        </w:rPr>
        <w:t>2-1, v</w:t>
      </w:r>
      <w:r>
        <w:rPr>
          <w:sz w:val="20"/>
        </w:rPr>
        <w:t xml:space="preserve">arious devices (e.g., Redcap, XR) are supported with different use cases and hardware capabilities.  </w:t>
      </w:r>
      <w:r>
        <w:rPr>
          <w:rFonts w:hint="eastAsia"/>
          <w:sz w:val="20"/>
        </w:rPr>
        <w:t xml:space="preserve"> </w:t>
      </w:r>
    </w:p>
    <w:p w14:paraId="5B3DFF67" w14:textId="77777777" w:rsidR="00C41F5F" w:rsidRDefault="00832B23">
      <w:pPr>
        <w:snapToGrid w:val="0"/>
        <w:spacing w:before="120" w:after="120"/>
        <w:jc w:val="center"/>
        <w:rPr>
          <w:sz w:val="20"/>
        </w:rPr>
      </w:pPr>
      <w:r>
        <w:rPr>
          <w:noProof/>
        </w:rPr>
        <w:drawing>
          <wp:inline distT="0" distB="0" distL="114300" distR="114300" wp14:anchorId="6BFA08AD" wp14:editId="722BBD85">
            <wp:extent cx="5472430" cy="2001520"/>
            <wp:effectExtent l="0" t="0" r="1397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472430" cy="2001520"/>
                    </a:xfrm>
                    <a:prstGeom prst="rect">
                      <a:avLst/>
                    </a:prstGeom>
                    <a:noFill/>
                    <a:ln>
                      <a:noFill/>
                    </a:ln>
                  </pic:spPr>
                </pic:pic>
              </a:graphicData>
            </a:graphic>
          </wp:inline>
        </w:drawing>
      </w:r>
    </w:p>
    <w:p w14:paraId="747BFD30" w14:textId="77777777" w:rsidR="00C41F5F" w:rsidRDefault="00832B23">
      <w:pPr>
        <w:snapToGrid w:val="0"/>
        <w:spacing w:before="120" w:after="120"/>
        <w:jc w:val="center"/>
        <w:rPr>
          <w:sz w:val="20"/>
        </w:rPr>
      </w:pPr>
      <w:r>
        <w:rPr>
          <w:rFonts w:hint="eastAsia"/>
          <w:sz w:val="20"/>
        </w:rPr>
        <w:t xml:space="preserve">Figure </w:t>
      </w:r>
      <w:r>
        <w:rPr>
          <w:sz w:val="20"/>
        </w:rPr>
        <w:t>2-1</w:t>
      </w:r>
      <w:r>
        <w:rPr>
          <w:rFonts w:hint="eastAsia"/>
          <w:sz w:val="20"/>
        </w:rPr>
        <w:t xml:space="preserve"> Deployed device type</w:t>
      </w:r>
      <w:r>
        <w:rPr>
          <w:sz w:val="20"/>
        </w:rPr>
        <w:t>s</w:t>
      </w:r>
      <w:r>
        <w:rPr>
          <w:rFonts w:hint="eastAsia"/>
          <w:sz w:val="20"/>
        </w:rPr>
        <w:t xml:space="preserve"> and use cases </w:t>
      </w:r>
      <w:r>
        <w:rPr>
          <w:sz w:val="20"/>
        </w:rPr>
        <w:t>in 5G</w:t>
      </w:r>
      <w:r>
        <w:rPr>
          <w:rFonts w:hint="eastAsia"/>
          <w:sz w:val="20"/>
        </w:rPr>
        <w:t xml:space="preserve"> and 6G</w:t>
      </w:r>
    </w:p>
    <w:p w14:paraId="53AD146B" w14:textId="77777777" w:rsidR="00C41F5F" w:rsidRDefault="00832B23">
      <w:pPr>
        <w:snapToGrid w:val="0"/>
        <w:spacing w:before="120" w:after="120"/>
        <w:rPr>
          <w:sz w:val="20"/>
        </w:rPr>
      </w:pPr>
      <w:r>
        <w:rPr>
          <w:sz w:val="20"/>
        </w:rPr>
        <w:t xml:space="preserve">To support these UEs with </w:t>
      </w:r>
      <w:r>
        <w:rPr>
          <w:rFonts w:hint="eastAsia"/>
          <w:sz w:val="20"/>
        </w:rPr>
        <w:t>sufficient</w:t>
      </w:r>
      <w:r>
        <w:rPr>
          <w:sz w:val="20"/>
        </w:rPr>
        <w:t xml:space="preserve"> flexibility at both UE and gNB side, the capability fr</w:t>
      </w:r>
      <w:r>
        <w:rPr>
          <w:sz w:val="20"/>
        </w:rPr>
        <w:t>amework has been introduced</w:t>
      </w:r>
      <w:r>
        <w:rPr>
          <w:rFonts w:hint="eastAsia"/>
          <w:sz w:val="20"/>
        </w:rPr>
        <w:t xml:space="preserve"> in 5G</w:t>
      </w:r>
      <w:r>
        <w:rPr>
          <w:sz w:val="20"/>
        </w:rPr>
        <w:t>. However, in the real commercialization, due to the complexity and challenges of device development, network planning and various roadmaps from different stakeholder, a large number of candidate capabilities haven’t been i</w:t>
      </w:r>
      <w:r>
        <w:rPr>
          <w:sz w:val="20"/>
        </w:rPr>
        <w:t>mplemented.</w:t>
      </w:r>
    </w:p>
    <w:p w14:paraId="31F541FC" w14:textId="77777777" w:rsidR="00C41F5F" w:rsidRDefault="00832B23">
      <w:pPr>
        <w:snapToGrid w:val="0"/>
        <w:spacing w:before="120" w:after="120"/>
        <w:rPr>
          <w:sz w:val="20"/>
        </w:rPr>
      </w:pPr>
      <w:r>
        <w:rPr>
          <w:sz w:val="20"/>
        </w:rPr>
        <w:t xml:space="preserve">For 6G, as mentioned in the SID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6GR is aimed to</w:t>
      </w:r>
      <w:r>
        <w:rPr>
          <w:rFonts w:hint="eastAsia"/>
          <w:sz w:val="20"/>
        </w:rPr>
        <w:t xml:space="preserve"> </w:t>
      </w:r>
      <w:r>
        <w:rPr>
          <w:sz w:val="20"/>
        </w:rPr>
        <w:t>support the agreed existing and new services, e.g., immersive communication, HRLLC</w:t>
      </w:r>
      <w:r>
        <w:rPr>
          <w:sz w:val="20"/>
        </w:rPr>
        <w:t xml:space="preserve"> and massive connection</w:t>
      </w:r>
      <w:r>
        <w:rPr>
          <w:rFonts w:hint="eastAsia"/>
          <w:sz w:val="20"/>
        </w:rPr>
        <w:t xml:space="preserve">, </w:t>
      </w:r>
      <w:r>
        <w:rPr>
          <w:sz w:val="20"/>
        </w:rPr>
        <w:t xml:space="preserve">along with the consideration on scalable and forward compatible design for diverse device types. </w:t>
      </w:r>
      <w:r>
        <w:rPr>
          <w:rFonts w:hint="eastAsia"/>
          <w:sz w:val="20"/>
        </w:rPr>
        <w:t xml:space="preserve">However, </w:t>
      </w:r>
      <w:r>
        <w:rPr>
          <w:sz w:val="20"/>
        </w:rPr>
        <w:t xml:space="preserve">regarding </w:t>
      </w:r>
      <w:r>
        <w:rPr>
          <w:rFonts w:hint="eastAsia"/>
          <w:sz w:val="20"/>
        </w:rPr>
        <w:t>device type</w:t>
      </w:r>
      <w:r>
        <w:rPr>
          <w:sz w:val="20"/>
        </w:rPr>
        <w:t>s, more factors, e.g., hardware restriction, market scale/</w:t>
      </w:r>
      <w:r>
        <w:rPr>
          <w:rFonts w:hint="eastAsia"/>
          <w:sz w:val="20"/>
        </w:rPr>
        <w:t>fragment</w:t>
      </w:r>
      <w:r>
        <w:rPr>
          <w:sz w:val="20"/>
        </w:rPr>
        <w:t xml:space="preserve"> and impacts on technical design (e.g., initial access and common channel) should be well considered. It </w:t>
      </w:r>
      <w:r>
        <w:rPr>
          <w:rFonts w:hint="eastAsia"/>
          <w:sz w:val="20"/>
        </w:rPr>
        <w:t xml:space="preserve">would be challenging to define all the types </w:t>
      </w:r>
      <w:r>
        <w:rPr>
          <w:sz w:val="20"/>
        </w:rPr>
        <w:t xml:space="preserve">with finer </w:t>
      </w:r>
      <w:r>
        <w:rPr>
          <w:rFonts w:hint="eastAsia"/>
          <w:sz w:val="20"/>
        </w:rPr>
        <w:t>granularity</w:t>
      </w:r>
      <w:r>
        <w:rPr>
          <w:sz w:val="20"/>
        </w:rPr>
        <w:t xml:space="preserve">. Then, it’s preferred to focus on some typical </w:t>
      </w:r>
      <w:r>
        <w:rPr>
          <w:rFonts w:hint="eastAsia"/>
          <w:sz w:val="20"/>
        </w:rPr>
        <w:t>categories</w:t>
      </w:r>
      <w:r>
        <w:rPr>
          <w:sz w:val="20"/>
        </w:rPr>
        <w:t xml:space="preserve"> with balanced considerati</w:t>
      </w:r>
      <w:r>
        <w:rPr>
          <w:sz w:val="20"/>
        </w:rPr>
        <w:t xml:space="preserve">on </w:t>
      </w:r>
      <w:r>
        <w:rPr>
          <w:sz w:val="20"/>
        </w:rPr>
        <w:fldChar w:fldCharType="begin"/>
      </w:r>
      <w:r>
        <w:rPr>
          <w:sz w:val="20"/>
        </w:rPr>
        <w:instrText xml:space="preserve"> REF _Ref210047492 \r \h </w:instrText>
      </w:r>
      <w:r>
        <w:rPr>
          <w:sz w:val="20"/>
        </w:rPr>
      </w:r>
      <w:r>
        <w:rPr>
          <w:sz w:val="20"/>
        </w:rPr>
        <w:fldChar w:fldCharType="separate"/>
      </w:r>
      <w:r>
        <w:rPr>
          <w:sz w:val="20"/>
        </w:rPr>
        <w:t>[3]</w:t>
      </w:r>
      <w:r>
        <w:rPr>
          <w:sz w:val="20"/>
        </w:rPr>
        <w:fldChar w:fldCharType="end"/>
      </w:r>
      <w:r>
        <w:rPr>
          <w:sz w:val="20"/>
        </w:rPr>
        <w:t>, e.g., Advanced UE (e.g., CPE, FWA), Normal UE (Smartphone) and Scalable UE (IoT).</w:t>
      </w:r>
    </w:p>
    <w:p w14:paraId="28F136B7" w14:textId="77777777" w:rsidR="00C41F5F" w:rsidRDefault="00832B23">
      <w:pPr>
        <w:numPr>
          <w:ilvl w:val="255"/>
          <w:numId w:val="0"/>
        </w:numPr>
        <w:snapToGrid w:val="0"/>
        <w:spacing w:before="120" w:after="120"/>
        <w:rPr>
          <w:sz w:val="20"/>
        </w:rPr>
      </w:pPr>
      <w:r>
        <w:rPr>
          <w:rFonts w:hint="eastAsia"/>
          <w:sz w:val="20"/>
        </w:rPr>
        <w:lastRenderedPageBreak/>
        <w:t xml:space="preserve">For different device type, some basic capability should be different and also some basic functionality should be common applied. </w:t>
      </w:r>
    </w:p>
    <w:p w14:paraId="48CCDFF9" w14:textId="77777777" w:rsidR="00C41F5F" w:rsidRDefault="00832B23">
      <w:pPr>
        <w:numPr>
          <w:ilvl w:val="255"/>
          <w:numId w:val="0"/>
        </w:numPr>
        <w:snapToGrid w:val="0"/>
        <w:spacing w:before="120" w:after="120"/>
        <w:rPr>
          <w:sz w:val="20"/>
        </w:rPr>
      </w:pPr>
      <w:r>
        <w:rPr>
          <w:rFonts w:hint="eastAsia"/>
          <w:sz w:val="20"/>
        </w:rPr>
        <w:t>I</w:t>
      </w:r>
      <w:r>
        <w:rPr>
          <w:sz w:val="20"/>
        </w:rPr>
        <w:t>t can be noticed that among all potential factors which are relev</w:t>
      </w:r>
      <w:r>
        <w:rPr>
          <w:rFonts w:hint="eastAsia"/>
          <w:sz w:val="20"/>
        </w:rPr>
        <w:t>a</w:t>
      </w:r>
      <w:r>
        <w:rPr>
          <w:sz w:val="20"/>
        </w:rPr>
        <w:t>nt for UE/device, the basic aspects, e.g., bandwidth, Anten</w:t>
      </w:r>
      <w:r>
        <w:rPr>
          <w:sz w:val="20"/>
        </w:rPr>
        <w:t xml:space="preserve">na configuration (e.g., Tx/Rx) matter for the 6GR design. More specifically, </w:t>
      </w:r>
      <w:r>
        <w:rPr>
          <w:rFonts w:hint="eastAsia"/>
          <w:sz w:val="20"/>
        </w:rPr>
        <w:t>f</w:t>
      </w:r>
      <w:r>
        <w:rPr>
          <w:sz w:val="20"/>
        </w:rPr>
        <w:t xml:space="preserve">or the impacts of bandwidth as listed in Section 3 and Section 6, the system design, e.g., for common channel, should start with the proper assumption on the </w:t>
      </w:r>
      <w:r>
        <w:rPr>
          <w:rFonts w:hint="eastAsia"/>
          <w:sz w:val="20"/>
        </w:rPr>
        <w:t xml:space="preserve">smallest </w:t>
      </w:r>
      <w:r>
        <w:rPr>
          <w:sz w:val="20"/>
        </w:rPr>
        <w:t xml:space="preserve">bandwidth. </w:t>
      </w:r>
      <w:r>
        <w:rPr>
          <w:sz w:val="20"/>
        </w:rPr>
        <w:t>For the impacts of Rx/Tx</w:t>
      </w:r>
      <w:r>
        <w:rPr>
          <w:rFonts w:hint="eastAsia"/>
          <w:sz w:val="20"/>
        </w:rPr>
        <w:t>,</w:t>
      </w:r>
      <w:r>
        <w:rPr>
          <w:sz w:val="20"/>
        </w:rPr>
        <w:t xml:space="preserve"> the system design should be able to ensure the basic 6GR requirement, e.g., coverage. Then, additionally features as highlighted in Section 10.2 can be supported along with the increase of Tx/Rx antenna number/MIMO layer as part o</w:t>
      </w:r>
      <w:r>
        <w:rPr>
          <w:sz w:val="20"/>
        </w:rPr>
        <w:t xml:space="preserve">f scalability of system design. </w:t>
      </w:r>
    </w:p>
    <w:p w14:paraId="76B936F5" w14:textId="77777777" w:rsidR="00C41F5F" w:rsidRDefault="00832B23">
      <w:pPr>
        <w:numPr>
          <w:ilvl w:val="255"/>
          <w:numId w:val="0"/>
        </w:numPr>
        <w:snapToGrid w:val="0"/>
        <w:spacing w:before="120" w:after="120"/>
        <w:rPr>
          <w:sz w:val="20"/>
        </w:rPr>
      </w:pPr>
      <w:r>
        <w:rPr>
          <w:sz w:val="20"/>
        </w:rPr>
        <w:t xml:space="preserve">To ensure sufficient performance gap comparing with 5G, the </w:t>
      </w:r>
      <w:r>
        <w:rPr>
          <w:rFonts w:hint="eastAsia"/>
          <w:sz w:val="20"/>
        </w:rPr>
        <w:t xml:space="preserve">basic capability set, including bandwidth, Rx/Tx, modulation order, </w:t>
      </w:r>
      <w:r>
        <w:rPr>
          <w:sz w:val="20"/>
        </w:rPr>
        <w:t xml:space="preserve">can be further </w:t>
      </w:r>
      <w:r>
        <w:rPr>
          <w:rFonts w:hint="eastAsia"/>
          <w:sz w:val="20"/>
        </w:rPr>
        <w:t>considered as shown in Table</w:t>
      </w:r>
      <w:r>
        <w:rPr>
          <w:sz w:val="20"/>
        </w:rPr>
        <w:t xml:space="preserve"> 2-1</w:t>
      </w:r>
      <w:r>
        <w:rPr>
          <w:rFonts w:hint="eastAsia"/>
          <w:sz w:val="20"/>
        </w:rPr>
        <w:t xml:space="preserve">. </w:t>
      </w:r>
      <w:r>
        <w:rPr>
          <w:sz w:val="20"/>
        </w:rPr>
        <w:t>F</w:t>
      </w:r>
      <w:r>
        <w:rPr>
          <w:rFonts w:hint="eastAsia"/>
          <w:sz w:val="20"/>
        </w:rPr>
        <w:t xml:space="preserve">or example, for </w:t>
      </w:r>
      <w:r>
        <w:rPr>
          <w:sz w:val="20"/>
        </w:rPr>
        <w:t>a</w:t>
      </w:r>
      <w:r>
        <w:rPr>
          <w:rFonts w:hint="eastAsia"/>
          <w:sz w:val="20"/>
        </w:rPr>
        <w:t xml:space="preserve"> low-end RedCap UE targeting</w:t>
      </w:r>
      <w:r>
        <w:rPr>
          <w:rFonts w:hint="eastAsia"/>
          <w:sz w:val="20"/>
        </w:rPr>
        <w:t xml:space="preserve"> 10Mbps peak data rate, a 1</w:t>
      </w:r>
      <w:r>
        <w:rPr>
          <w:sz w:val="20"/>
        </w:rPr>
        <w:t>-</w:t>
      </w:r>
      <w:r>
        <w:rPr>
          <w:rFonts w:hint="eastAsia"/>
          <w:sz w:val="20"/>
        </w:rPr>
        <w:t xml:space="preserve">Rx configuration with up to 16QAM is sufficient. However, </w:t>
      </w:r>
      <w:r>
        <w:rPr>
          <w:sz w:val="20"/>
        </w:rPr>
        <w:t>an</w:t>
      </w:r>
      <w:r>
        <w:rPr>
          <w:rFonts w:hint="eastAsia"/>
          <w:sz w:val="20"/>
        </w:rPr>
        <w:t xml:space="preserve"> advanced UE</w:t>
      </w:r>
      <w:r>
        <w:rPr>
          <w:sz w:val="20"/>
        </w:rPr>
        <w:t xml:space="preserve"> </w:t>
      </w:r>
      <w:r>
        <w:rPr>
          <w:rFonts w:hint="eastAsia"/>
          <w:sz w:val="20"/>
        </w:rPr>
        <w:t xml:space="preserve">(e.g., FWA, CPE or vehicle) may equip 8Rx/8Tx to achieve higher data rate and stringent latency requirement. </w:t>
      </w:r>
    </w:p>
    <w:p w14:paraId="3A7E5D99" w14:textId="77777777" w:rsidR="00C41F5F" w:rsidRDefault="00832B23">
      <w:pPr>
        <w:numPr>
          <w:ilvl w:val="255"/>
          <w:numId w:val="0"/>
        </w:numPr>
        <w:snapToGrid w:val="0"/>
        <w:spacing w:before="120" w:after="120"/>
        <w:jc w:val="center"/>
        <w:rPr>
          <w:sz w:val="20"/>
        </w:rPr>
      </w:pPr>
      <w:r>
        <w:rPr>
          <w:rFonts w:hint="eastAsia"/>
          <w:sz w:val="20"/>
        </w:rPr>
        <w:t xml:space="preserve">Table </w:t>
      </w:r>
      <w:r>
        <w:rPr>
          <w:sz w:val="20"/>
        </w:rPr>
        <w:t>2-1</w:t>
      </w:r>
      <w:r>
        <w:rPr>
          <w:rFonts w:hint="eastAsia"/>
          <w:sz w:val="20"/>
        </w:rPr>
        <w:t xml:space="preserve">. </w:t>
      </w:r>
      <w:r>
        <w:rPr>
          <w:sz w:val="20"/>
        </w:rPr>
        <w:t>B</w:t>
      </w:r>
      <w:r>
        <w:rPr>
          <w:rFonts w:hint="eastAsia"/>
          <w:sz w:val="20"/>
        </w:rPr>
        <w:t xml:space="preserve">asic capabilities for </w:t>
      </w:r>
      <w:r>
        <w:rPr>
          <w:sz w:val="20"/>
        </w:rPr>
        <w:t xml:space="preserve">different </w:t>
      </w:r>
      <w:r>
        <w:rPr>
          <w:rFonts w:hint="eastAsia"/>
          <w:sz w:val="20"/>
        </w:rPr>
        <w:t>d</w:t>
      </w:r>
      <w:r>
        <w:rPr>
          <w:rFonts w:hint="eastAsia"/>
          <w:sz w:val="20"/>
        </w:rPr>
        <w:t>evice type</w:t>
      </w:r>
      <w:r>
        <w:rPr>
          <w:sz w:val="20"/>
        </w:rPr>
        <w:t>s</w:t>
      </w:r>
    </w:p>
    <w:tbl>
      <w:tblPr>
        <w:tblW w:w="8784" w:type="dxa"/>
        <w:jc w:val="center"/>
        <w:tblLook w:val="04A0" w:firstRow="1" w:lastRow="0" w:firstColumn="1" w:lastColumn="0" w:noHBand="0" w:noVBand="1"/>
      </w:tblPr>
      <w:tblGrid>
        <w:gridCol w:w="2117"/>
        <w:gridCol w:w="2120"/>
        <w:gridCol w:w="2421"/>
        <w:gridCol w:w="2126"/>
      </w:tblGrid>
      <w:tr w:rsidR="00C41F5F" w14:paraId="5D47DFF6" w14:textId="7777777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99585" w14:textId="77777777" w:rsidR="00C41F5F" w:rsidRDefault="00832B23">
            <w:pPr>
              <w:snapToGrid w:val="0"/>
              <w:spacing w:before="120" w:after="120"/>
              <w:jc w:val="center"/>
              <w:textAlignment w:val="center"/>
              <w:rPr>
                <w:rFonts w:eastAsia="微软雅黑"/>
                <w:b/>
                <w:bCs/>
                <w:color w:val="000000"/>
                <w:sz w:val="20"/>
              </w:rPr>
            </w:pPr>
            <w:r>
              <w:rPr>
                <w:rFonts w:eastAsia="微软雅黑"/>
                <w:b/>
                <w:bCs/>
                <w:color w:val="000000"/>
                <w:kern w:val="0"/>
                <w:sz w:val="20"/>
                <w:lang w:bidi="ar"/>
              </w:rPr>
              <w:t>Parameter list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9C81C" w14:textId="77777777" w:rsidR="00C41F5F" w:rsidRDefault="00832B23">
            <w:pPr>
              <w:snapToGrid w:val="0"/>
              <w:spacing w:before="120" w:after="120"/>
              <w:jc w:val="center"/>
              <w:textAlignment w:val="center"/>
              <w:rPr>
                <w:rFonts w:eastAsia="微软雅黑"/>
                <w:b/>
                <w:bCs/>
                <w:color w:val="000000"/>
                <w:sz w:val="20"/>
              </w:rPr>
            </w:pPr>
            <w:r>
              <w:rPr>
                <w:rFonts w:eastAsia="微软雅黑"/>
                <w:b/>
                <w:bCs/>
                <w:color w:val="000000"/>
                <w:kern w:val="0"/>
                <w:sz w:val="20"/>
                <w:lang w:bidi="ar"/>
              </w:rPr>
              <w:t>Advanced UE (e.g., CPE, FWA)</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ECE3C" w14:textId="77777777" w:rsidR="00C41F5F" w:rsidRDefault="00832B23">
            <w:pPr>
              <w:snapToGrid w:val="0"/>
              <w:spacing w:before="120" w:after="120"/>
              <w:jc w:val="center"/>
              <w:textAlignment w:val="center"/>
              <w:rPr>
                <w:rFonts w:eastAsia="微软雅黑"/>
                <w:b/>
                <w:bCs/>
                <w:color w:val="000000"/>
                <w:sz w:val="20"/>
              </w:rPr>
            </w:pPr>
            <w:r>
              <w:rPr>
                <w:rFonts w:eastAsia="微软雅黑"/>
                <w:b/>
                <w:bCs/>
                <w:color w:val="000000"/>
                <w:kern w:val="0"/>
                <w:sz w:val="20"/>
                <w:lang w:bidi="ar"/>
              </w:rPr>
              <w:t>Normal UE (Smartphone)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ABB7F" w14:textId="77777777" w:rsidR="00C41F5F" w:rsidRDefault="00832B23">
            <w:pPr>
              <w:snapToGrid w:val="0"/>
              <w:spacing w:before="120" w:after="120"/>
              <w:jc w:val="center"/>
              <w:textAlignment w:val="top"/>
              <w:rPr>
                <w:rFonts w:eastAsia="微软雅黑"/>
                <w:b/>
                <w:bCs/>
                <w:color w:val="000000"/>
                <w:sz w:val="20"/>
              </w:rPr>
            </w:pPr>
            <w:r>
              <w:rPr>
                <w:rFonts w:eastAsia="微软雅黑"/>
                <w:b/>
                <w:bCs/>
                <w:color w:val="000000"/>
                <w:kern w:val="0"/>
                <w:sz w:val="20"/>
                <w:lang w:bidi="ar"/>
              </w:rPr>
              <w:t>Scalable UE (IoT)</w:t>
            </w:r>
          </w:p>
        </w:tc>
      </w:tr>
      <w:tr w:rsidR="00C41F5F" w14:paraId="13B9AF8E" w14:textId="7777777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7BEA1" w14:textId="77777777" w:rsidR="00C41F5F" w:rsidRDefault="00832B23">
            <w:pPr>
              <w:snapToGrid w:val="0"/>
              <w:spacing w:before="120" w:after="120"/>
              <w:jc w:val="center"/>
              <w:textAlignment w:val="center"/>
              <w:rPr>
                <w:rFonts w:eastAsia="微软雅黑"/>
                <w:color w:val="000000"/>
                <w:sz w:val="20"/>
              </w:rPr>
            </w:pPr>
            <w:r>
              <w:rPr>
                <w:rFonts w:eastAsia="微软雅黑"/>
                <w:color w:val="000000"/>
                <w:kern w:val="0"/>
                <w:sz w:val="20"/>
                <w:lang w:bidi="ar"/>
              </w:rPr>
              <w:t>RF/BB BW</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8ED4D" w14:textId="77777777" w:rsidR="00C41F5F" w:rsidRDefault="00832B23">
            <w:pPr>
              <w:snapToGrid w:val="0"/>
              <w:spacing w:before="120" w:after="120"/>
              <w:jc w:val="center"/>
              <w:textAlignment w:val="center"/>
              <w:rPr>
                <w:rFonts w:eastAsia="微软雅黑"/>
                <w:color w:val="000000"/>
                <w:sz w:val="20"/>
              </w:rPr>
            </w:pPr>
            <w:r>
              <w:rPr>
                <w:rFonts w:eastAsia="微软雅黑"/>
                <w:color w:val="000000"/>
                <w:kern w:val="0"/>
                <w:sz w:val="20"/>
                <w:lang w:bidi="ar"/>
              </w:rPr>
              <w:t>400MHz</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44909" w14:textId="77777777" w:rsidR="00C41F5F" w:rsidRDefault="00832B23">
            <w:pPr>
              <w:snapToGrid w:val="0"/>
              <w:spacing w:before="120" w:after="120"/>
              <w:jc w:val="center"/>
              <w:textAlignment w:val="center"/>
              <w:rPr>
                <w:rFonts w:eastAsia="微软雅黑"/>
                <w:color w:val="000000"/>
                <w:kern w:val="0"/>
                <w:sz w:val="20"/>
                <w:lang w:bidi="ar"/>
              </w:rPr>
            </w:pPr>
            <w:r>
              <w:rPr>
                <w:rFonts w:eastAsia="微软雅黑"/>
                <w:color w:val="000000"/>
                <w:kern w:val="0"/>
                <w:sz w:val="20"/>
                <w:lang w:bidi="ar"/>
              </w:rPr>
              <w:t>100MHz for 15KHz SCS, 200MHz for 30KHz SCS</w:t>
            </w:r>
            <w:r>
              <w:rPr>
                <w:rFonts w:eastAsia="微软雅黑" w:hint="eastAsia"/>
                <w:color w:val="000000"/>
                <w:kern w:val="0"/>
                <w:sz w:val="20"/>
                <w:lang w:bidi="ar"/>
              </w:rPr>
              <w:t xml:space="preserve"> for sub 6G</w:t>
            </w:r>
          </w:p>
          <w:p w14:paraId="66F2C299" w14:textId="77777777" w:rsidR="00C41F5F" w:rsidRDefault="00832B23">
            <w:pPr>
              <w:snapToGrid w:val="0"/>
              <w:spacing w:before="120" w:after="120"/>
              <w:jc w:val="center"/>
              <w:textAlignment w:val="center"/>
              <w:rPr>
                <w:rFonts w:eastAsia="微软雅黑"/>
                <w:color w:val="000000"/>
                <w:kern w:val="0"/>
                <w:sz w:val="20"/>
                <w:lang w:bidi="ar"/>
              </w:rPr>
            </w:pPr>
            <w:r>
              <w:rPr>
                <w:rFonts w:eastAsia="微软雅黑" w:hint="eastAsia"/>
                <w:color w:val="000000"/>
                <w:kern w:val="0"/>
                <w:sz w:val="20"/>
                <w:lang w:bidi="ar"/>
              </w:rPr>
              <w:t>400MHz for 30KHz SCS around 7GHz</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049BE" w14:textId="77777777" w:rsidR="00C41F5F" w:rsidRDefault="00832B23">
            <w:pPr>
              <w:snapToGrid w:val="0"/>
              <w:spacing w:before="120" w:after="120"/>
              <w:jc w:val="center"/>
              <w:textAlignment w:val="top"/>
              <w:rPr>
                <w:rFonts w:eastAsia="微软雅黑"/>
                <w:color w:val="000000"/>
                <w:sz w:val="20"/>
              </w:rPr>
            </w:pPr>
            <w:r>
              <w:rPr>
                <w:rFonts w:eastAsia="微软雅黑"/>
                <w:color w:val="000000"/>
                <w:kern w:val="0"/>
                <w:sz w:val="20"/>
                <w:lang w:bidi="ar"/>
              </w:rPr>
              <w:t>5MHz for 15KHz SCS, 10MHz for 30KHzSCS</w:t>
            </w:r>
          </w:p>
        </w:tc>
      </w:tr>
      <w:tr w:rsidR="00C41F5F" w14:paraId="493C7CF0" w14:textId="77777777">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09089" w14:textId="77777777" w:rsidR="00C41F5F" w:rsidRDefault="00832B23">
            <w:pPr>
              <w:snapToGrid w:val="0"/>
              <w:spacing w:before="120" w:after="120"/>
              <w:jc w:val="center"/>
              <w:textAlignment w:val="center"/>
              <w:rPr>
                <w:rFonts w:eastAsia="微软雅黑"/>
                <w:color w:val="000000"/>
                <w:sz w:val="20"/>
              </w:rPr>
            </w:pPr>
            <w:r>
              <w:rPr>
                <w:rFonts w:eastAsia="微软雅黑"/>
                <w:color w:val="000000"/>
                <w:kern w:val="0"/>
                <w:sz w:val="20"/>
                <w:lang w:bidi="ar"/>
              </w:rPr>
              <w:t>R</w:t>
            </w:r>
            <w:r>
              <w:rPr>
                <w:rFonts w:eastAsia="微软雅黑" w:hint="eastAsia"/>
                <w:color w:val="000000"/>
                <w:kern w:val="0"/>
                <w:sz w:val="20"/>
                <w:lang w:bidi="ar"/>
              </w:rPr>
              <w:t>x</w:t>
            </w:r>
            <w:r>
              <w:rPr>
                <w:rFonts w:eastAsia="微软雅黑"/>
                <w:color w:val="000000"/>
                <w:kern w:val="0"/>
                <w:sz w:val="20"/>
                <w:lang w:bidi="ar"/>
              </w:rPr>
              <w:t>/Tx antenna</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A938" w14:textId="77777777" w:rsidR="00C41F5F" w:rsidRDefault="00832B23">
            <w:pPr>
              <w:snapToGrid w:val="0"/>
              <w:spacing w:before="120" w:after="120"/>
              <w:jc w:val="center"/>
              <w:textAlignment w:val="center"/>
              <w:rPr>
                <w:rFonts w:eastAsia="微软雅黑"/>
                <w:color w:val="000000"/>
                <w:sz w:val="20"/>
              </w:rPr>
            </w:pPr>
            <w:r>
              <w:rPr>
                <w:rFonts w:eastAsia="微软雅黑" w:hint="eastAsia"/>
                <w:color w:val="000000"/>
                <w:kern w:val="0"/>
                <w:sz w:val="20"/>
                <w:lang w:bidi="ar"/>
              </w:rPr>
              <w:t>8</w:t>
            </w:r>
            <w:r>
              <w:rPr>
                <w:rFonts w:eastAsia="微软雅黑"/>
                <w:color w:val="000000"/>
                <w:kern w:val="0"/>
                <w:sz w:val="20"/>
                <w:lang w:bidi="ar"/>
              </w:rPr>
              <w:t>Rx/</w:t>
            </w:r>
            <w:r>
              <w:rPr>
                <w:rFonts w:eastAsia="微软雅黑" w:hint="eastAsia"/>
                <w:color w:val="000000"/>
                <w:kern w:val="0"/>
                <w:sz w:val="20"/>
                <w:lang w:bidi="ar"/>
              </w:rPr>
              <w:t>8</w:t>
            </w:r>
            <w:r>
              <w:rPr>
                <w:rFonts w:eastAsia="微软雅黑"/>
                <w:color w:val="000000"/>
                <w:kern w:val="0"/>
                <w:sz w:val="20"/>
                <w:lang w:bidi="ar"/>
              </w:rPr>
              <w:t>Tx</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98DD4" w14:textId="77777777" w:rsidR="00C41F5F" w:rsidRDefault="00832B23">
            <w:pPr>
              <w:snapToGrid w:val="0"/>
              <w:spacing w:before="120" w:after="120"/>
              <w:jc w:val="center"/>
              <w:textAlignment w:val="center"/>
              <w:rPr>
                <w:rFonts w:eastAsia="微软雅黑"/>
                <w:color w:val="000000"/>
                <w:sz w:val="20"/>
              </w:rPr>
            </w:pPr>
            <w:r>
              <w:rPr>
                <w:rFonts w:eastAsia="微软雅黑"/>
                <w:color w:val="000000"/>
                <w:kern w:val="0"/>
                <w:sz w:val="20"/>
                <w:lang w:bidi="ar"/>
              </w:rPr>
              <w:t>Up to 8Rx/4Tx</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2D89B" w14:textId="77777777" w:rsidR="00C41F5F" w:rsidRDefault="00832B23">
            <w:pPr>
              <w:snapToGrid w:val="0"/>
              <w:spacing w:before="120" w:after="120"/>
              <w:jc w:val="center"/>
              <w:textAlignment w:val="top"/>
              <w:rPr>
                <w:rFonts w:eastAsia="微软雅黑"/>
                <w:color w:val="000000"/>
                <w:sz w:val="20"/>
              </w:rPr>
            </w:pPr>
            <w:r>
              <w:rPr>
                <w:rFonts w:eastAsia="微软雅黑"/>
                <w:color w:val="000000"/>
                <w:kern w:val="0"/>
                <w:sz w:val="20"/>
                <w:lang w:bidi="ar"/>
              </w:rPr>
              <w:t>1Rx/1Tx</w:t>
            </w:r>
          </w:p>
        </w:tc>
      </w:tr>
      <w:tr w:rsidR="00C41F5F" w14:paraId="20128E2E" w14:textId="77777777">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1D9BB" w14:textId="77777777" w:rsidR="00C41F5F" w:rsidRDefault="00832B23">
            <w:pPr>
              <w:snapToGrid w:val="0"/>
              <w:spacing w:before="120" w:after="120"/>
              <w:jc w:val="center"/>
              <w:textAlignment w:val="center"/>
              <w:rPr>
                <w:rFonts w:eastAsia="微软雅黑"/>
                <w:color w:val="000000"/>
                <w:sz w:val="20"/>
              </w:rPr>
            </w:pPr>
            <w:r>
              <w:rPr>
                <w:rFonts w:eastAsia="微软雅黑"/>
                <w:color w:val="000000"/>
                <w:kern w:val="0"/>
                <w:sz w:val="20"/>
                <w:lang w:bidi="ar"/>
              </w:rPr>
              <w:t>MIMO layer</w:t>
            </w:r>
            <w:r>
              <w:rPr>
                <w:rFonts w:eastAsia="微软雅黑" w:hint="eastAsia"/>
                <w:color w:val="000000"/>
                <w:kern w:val="0"/>
                <w:sz w:val="20"/>
                <w:lang w:bidi="ar"/>
              </w:rPr>
              <w:t>（</w:t>
            </w:r>
            <w:r>
              <w:rPr>
                <w:rFonts w:eastAsia="微软雅黑"/>
                <w:color w:val="000000"/>
                <w:kern w:val="0"/>
                <w:sz w:val="20"/>
                <w:lang w:bidi="ar"/>
              </w:rPr>
              <w:t>DL/UL</w:t>
            </w:r>
            <w:r>
              <w:rPr>
                <w:rFonts w:eastAsia="微软雅黑" w:hint="eastAsia"/>
                <w:color w:val="000000"/>
                <w:kern w:val="0"/>
                <w:sz w:val="20"/>
                <w:lang w:bidi="ar"/>
              </w:rPr>
              <w: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AACE7" w14:textId="77777777" w:rsidR="00C41F5F" w:rsidRDefault="00832B23">
            <w:pPr>
              <w:snapToGrid w:val="0"/>
              <w:spacing w:before="120" w:after="120"/>
              <w:jc w:val="center"/>
              <w:textAlignment w:val="top"/>
              <w:rPr>
                <w:rFonts w:eastAsia="微软雅黑"/>
                <w:color w:val="000000"/>
                <w:sz w:val="20"/>
              </w:rPr>
            </w:pPr>
            <w:r>
              <w:rPr>
                <w:rFonts w:eastAsia="微软雅黑"/>
                <w:color w:val="000000"/>
                <w:kern w:val="0"/>
                <w:sz w:val="20"/>
                <w:lang w:bidi="ar"/>
              </w:rPr>
              <w:t>8/8</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80F2E" w14:textId="77777777" w:rsidR="00C41F5F" w:rsidRDefault="00832B23">
            <w:pPr>
              <w:snapToGrid w:val="0"/>
              <w:spacing w:before="120" w:after="120"/>
              <w:jc w:val="center"/>
              <w:textAlignment w:val="top"/>
              <w:rPr>
                <w:rFonts w:eastAsia="微软雅黑"/>
                <w:color w:val="000000"/>
                <w:sz w:val="20"/>
              </w:rPr>
            </w:pPr>
            <w:r>
              <w:rPr>
                <w:rFonts w:eastAsia="微软雅黑"/>
                <w:color w:val="000000"/>
                <w:kern w:val="0"/>
                <w:sz w:val="20"/>
                <w:lang w:bidi="ar"/>
              </w:rPr>
              <w:t>8/4</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B3BD1" w14:textId="77777777" w:rsidR="00C41F5F" w:rsidRDefault="00832B23">
            <w:pPr>
              <w:snapToGrid w:val="0"/>
              <w:spacing w:before="120" w:after="120"/>
              <w:jc w:val="center"/>
              <w:textAlignment w:val="top"/>
              <w:rPr>
                <w:rFonts w:eastAsia="微软雅黑"/>
                <w:color w:val="000000"/>
                <w:sz w:val="20"/>
              </w:rPr>
            </w:pPr>
            <w:r>
              <w:rPr>
                <w:rFonts w:eastAsia="微软雅黑"/>
                <w:color w:val="000000"/>
                <w:kern w:val="0"/>
                <w:sz w:val="20"/>
                <w:lang w:bidi="ar"/>
              </w:rPr>
              <w:t>1/1</w:t>
            </w:r>
          </w:p>
        </w:tc>
      </w:tr>
      <w:tr w:rsidR="00C41F5F" w14:paraId="2DCBBC79" w14:textId="77777777">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5389B" w14:textId="77777777" w:rsidR="00C41F5F" w:rsidRDefault="00832B23">
            <w:pPr>
              <w:snapToGrid w:val="0"/>
              <w:spacing w:before="120" w:after="120"/>
              <w:jc w:val="center"/>
              <w:textAlignment w:val="center"/>
              <w:rPr>
                <w:rFonts w:eastAsia="微软雅黑"/>
                <w:color w:val="000000"/>
                <w:sz w:val="20"/>
              </w:rPr>
            </w:pPr>
            <w:r>
              <w:rPr>
                <w:rFonts w:eastAsia="微软雅黑"/>
                <w:color w:val="000000"/>
                <w:kern w:val="0"/>
                <w:sz w:val="20"/>
                <w:lang w:bidi="ar"/>
              </w:rPr>
              <w:t>Max modulation order</w:t>
            </w:r>
            <w:r>
              <w:rPr>
                <w:rFonts w:eastAsia="微软雅黑" w:hint="eastAsia"/>
                <w:color w:val="000000"/>
                <w:kern w:val="0"/>
                <w:sz w:val="20"/>
                <w:lang w:bidi="ar"/>
              </w:rPr>
              <w:t>（</w:t>
            </w:r>
            <w:r>
              <w:rPr>
                <w:rFonts w:eastAsia="微软雅黑"/>
                <w:color w:val="000000"/>
                <w:kern w:val="0"/>
                <w:sz w:val="20"/>
                <w:lang w:bidi="ar"/>
              </w:rPr>
              <w:t>DL/UL</w:t>
            </w:r>
            <w:r>
              <w:rPr>
                <w:rFonts w:eastAsia="微软雅黑" w:hint="eastAsia"/>
                <w:color w:val="000000"/>
                <w:kern w:val="0"/>
                <w:sz w:val="20"/>
                <w:lang w:bidi="ar"/>
              </w:rPr>
              <w:t>）</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94722" w14:textId="77777777" w:rsidR="00C41F5F" w:rsidRDefault="00832B23">
            <w:pPr>
              <w:snapToGrid w:val="0"/>
              <w:spacing w:before="120" w:after="120"/>
              <w:jc w:val="center"/>
              <w:textAlignment w:val="center"/>
              <w:rPr>
                <w:rFonts w:eastAsia="微软雅黑"/>
                <w:color w:val="000000"/>
                <w:sz w:val="20"/>
              </w:rPr>
            </w:pPr>
            <w:r>
              <w:rPr>
                <w:rFonts w:eastAsia="微软雅黑"/>
                <w:color w:val="000000"/>
                <w:kern w:val="0"/>
                <w:sz w:val="20"/>
                <w:lang w:bidi="ar"/>
              </w:rPr>
              <w:t>1024QAM/1024QAM</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ABF5E" w14:textId="77777777" w:rsidR="00C41F5F" w:rsidRDefault="00832B23">
            <w:pPr>
              <w:snapToGrid w:val="0"/>
              <w:spacing w:before="120" w:after="120"/>
              <w:jc w:val="center"/>
              <w:textAlignment w:val="center"/>
              <w:rPr>
                <w:rFonts w:eastAsia="微软雅黑"/>
                <w:color w:val="000000"/>
                <w:sz w:val="20"/>
              </w:rPr>
            </w:pPr>
            <w:r>
              <w:rPr>
                <w:rFonts w:eastAsia="微软雅黑"/>
                <w:color w:val="000000"/>
                <w:kern w:val="0"/>
                <w:sz w:val="20"/>
                <w:lang w:bidi="ar"/>
              </w:rPr>
              <w:t>1024QAM/256QAM</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C45BB" w14:textId="77777777" w:rsidR="00C41F5F" w:rsidRDefault="00832B23">
            <w:pPr>
              <w:snapToGrid w:val="0"/>
              <w:spacing w:before="120" w:after="120"/>
              <w:jc w:val="center"/>
              <w:textAlignment w:val="top"/>
              <w:rPr>
                <w:rFonts w:eastAsia="微软雅黑"/>
                <w:color w:val="000000"/>
                <w:sz w:val="20"/>
              </w:rPr>
            </w:pPr>
            <w:r>
              <w:rPr>
                <w:rFonts w:eastAsia="微软雅黑"/>
                <w:color w:val="000000"/>
                <w:kern w:val="0"/>
                <w:sz w:val="20"/>
                <w:lang w:bidi="ar"/>
              </w:rPr>
              <w:t>64QAM (or 16QAM)/16QAM</w:t>
            </w:r>
          </w:p>
        </w:tc>
      </w:tr>
    </w:tbl>
    <w:p w14:paraId="7C0A47DE" w14:textId="60D6BFE1" w:rsidR="00C41F5F" w:rsidRDefault="00832B23">
      <w:pPr>
        <w:snapToGrid w:val="0"/>
        <w:spacing w:before="120" w:after="120"/>
        <w:rPr>
          <w:bCs/>
          <w:i/>
          <w:sz w:val="20"/>
        </w:rPr>
      </w:pPr>
      <w:r>
        <w:rPr>
          <w:b/>
          <w:bCs/>
          <w:i/>
          <w:sz w:val="20"/>
        </w:rPr>
        <w:t xml:space="preserve">Proposal </w:t>
      </w:r>
      <w:r>
        <w:rPr>
          <w:rFonts w:hint="eastAsia"/>
          <w:b/>
          <w:bCs/>
          <w:i/>
          <w:sz w:val="20"/>
        </w:rPr>
        <w:t>2</w:t>
      </w:r>
      <w:r>
        <w:rPr>
          <w:b/>
          <w:bCs/>
          <w:i/>
          <w:sz w:val="20"/>
        </w:rPr>
        <w:t xml:space="preserve">-1: </w:t>
      </w:r>
      <w:r>
        <w:rPr>
          <w:bCs/>
          <w:i/>
          <w:sz w:val="20"/>
        </w:rPr>
        <w:t xml:space="preserve">For 6GR </w:t>
      </w:r>
      <w:r>
        <w:rPr>
          <w:rFonts w:hint="eastAsia"/>
          <w:bCs/>
          <w:i/>
          <w:sz w:val="20"/>
        </w:rPr>
        <w:t>design</w:t>
      </w:r>
      <w:r>
        <w:rPr>
          <w:bCs/>
          <w:i/>
          <w:sz w:val="20"/>
        </w:rPr>
        <w:t xml:space="preserve">, the impacts of </w:t>
      </w:r>
      <w:r>
        <w:rPr>
          <w:bCs/>
          <w:i/>
          <w:sz w:val="20"/>
        </w:rPr>
        <w:t xml:space="preserve">BW, </w:t>
      </w:r>
      <w:r>
        <w:rPr>
          <w:rFonts w:hint="eastAsia"/>
          <w:bCs/>
          <w:i/>
          <w:sz w:val="20"/>
        </w:rPr>
        <w:t>a</w:t>
      </w:r>
      <w:r>
        <w:rPr>
          <w:bCs/>
          <w:i/>
          <w:sz w:val="20"/>
        </w:rPr>
        <w:t xml:space="preserve">ntenna configuration should be at least considered to the achieve the </w:t>
      </w:r>
      <w:r>
        <w:rPr>
          <w:rFonts w:hint="eastAsia"/>
          <w:bCs/>
          <w:i/>
          <w:sz w:val="20"/>
        </w:rPr>
        <w:t>scalab</w:t>
      </w:r>
      <w:r>
        <w:rPr>
          <w:bCs/>
          <w:i/>
          <w:sz w:val="20"/>
        </w:rPr>
        <w:t xml:space="preserve">le design. </w:t>
      </w:r>
    </w:p>
    <w:p w14:paraId="31740EA7" w14:textId="77777777" w:rsidR="00C41F5F" w:rsidRDefault="00832B23">
      <w:pPr>
        <w:pStyle w:val="af9"/>
        <w:numPr>
          <w:ilvl w:val="0"/>
          <w:numId w:val="9"/>
        </w:numPr>
        <w:snapToGrid w:val="0"/>
        <w:spacing w:before="50" w:after="120"/>
        <w:contextualSpacing w:val="0"/>
        <w:rPr>
          <w:i/>
          <w:sz w:val="20"/>
        </w:rPr>
      </w:pPr>
      <w:r>
        <w:rPr>
          <w:i/>
          <w:sz w:val="20"/>
        </w:rPr>
        <w:t>The assumption on the basic capabilities listed in Table 2-1 for different device types (e.g., Advanced UE, Normal UE and Scalable UE (IoT)) can be considered as the ba</w:t>
      </w:r>
      <w:r>
        <w:rPr>
          <w:i/>
          <w:sz w:val="20"/>
        </w:rPr>
        <w:t>seline.</w:t>
      </w:r>
    </w:p>
    <w:p w14:paraId="4C62F203" w14:textId="298BFF5E" w:rsidR="00C41F5F" w:rsidRDefault="00832B23">
      <w:pPr>
        <w:snapToGrid w:val="0"/>
        <w:spacing w:before="120" w:after="120"/>
        <w:rPr>
          <w:sz w:val="20"/>
        </w:rPr>
      </w:pPr>
      <w:r>
        <w:rPr>
          <w:sz w:val="20"/>
        </w:rPr>
        <w:t xml:space="preserve">Additionally, how to achieve the scalable design with </w:t>
      </w:r>
      <w:r>
        <w:rPr>
          <w:rFonts w:hint="eastAsia"/>
          <w:sz w:val="20"/>
        </w:rPr>
        <w:t>common functionalities</w:t>
      </w:r>
      <w:r>
        <w:rPr>
          <w:sz w:val="20"/>
        </w:rPr>
        <w:t xml:space="preserve"> for diverse device types </w:t>
      </w:r>
      <w:r>
        <w:rPr>
          <w:sz w:val="20"/>
        </w:rPr>
        <w:t xml:space="preserve">was </w:t>
      </w:r>
      <w:r>
        <w:rPr>
          <w:sz w:val="20"/>
        </w:rPr>
        <w:t>discussed in RAN1#122bis with</w:t>
      </w:r>
      <w:r>
        <w:rPr>
          <w:sz w:val="20"/>
        </w:rPr>
        <w:t xml:space="preserve"> the</w:t>
      </w:r>
      <w:r>
        <w:rPr>
          <w:sz w:val="20"/>
        </w:rPr>
        <w:t xml:space="preserve"> following pending proposal:</w:t>
      </w:r>
    </w:p>
    <w:tbl>
      <w:tblPr>
        <w:tblStyle w:val="af3"/>
        <w:tblW w:w="0" w:type="auto"/>
        <w:tblLook w:val="04A0" w:firstRow="1" w:lastRow="0" w:firstColumn="1" w:lastColumn="0" w:noHBand="0" w:noVBand="1"/>
      </w:tblPr>
      <w:tblGrid>
        <w:gridCol w:w="9650"/>
      </w:tblGrid>
      <w:tr w:rsidR="00C41F5F" w14:paraId="6C97F46E" w14:textId="77777777">
        <w:tc>
          <w:tcPr>
            <w:tcW w:w="9650" w:type="dxa"/>
          </w:tcPr>
          <w:p w14:paraId="0AEB32A9" w14:textId="77777777" w:rsidR="00C41F5F" w:rsidRDefault="00832B23">
            <w:pPr>
              <w:pStyle w:val="a9"/>
              <w:snapToGrid w:val="0"/>
              <w:spacing w:beforeLines="0" w:before="60" w:afterLines="0" w:after="60" w:line="240" w:lineRule="auto"/>
              <w:rPr>
                <w:rFonts w:ascii="Times New Roman" w:hAnsi="Times New Roman"/>
                <w:b/>
                <w:bCs/>
                <w:kern w:val="0"/>
                <w:sz w:val="20"/>
                <w:szCs w:val="20"/>
              </w:rPr>
            </w:pPr>
            <w:r>
              <w:rPr>
                <w:rFonts w:ascii="Times New Roman" w:hAnsi="Times New Roman"/>
                <w:b/>
                <w:bCs/>
                <w:sz w:val="20"/>
                <w:szCs w:val="20"/>
                <w:highlight w:val="yellow"/>
              </w:rPr>
              <w:t>Proposal 3.1b in RAN1#122bis:</w:t>
            </w:r>
          </w:p>
          <w:p w14:paraId="7C034180" w14:textId="77777777" w:rsidR="00C41F5F" w:rsidRDefault="00832B23">
            <w:pPr>
              <w:pStyle w:val="a9"/>
              <w:numPr>
                <w:ilvl w:val="0"/>
                <w:numId w:val="10"/>
              </w:numPr>
              <w:suppressAutoHyphens/>
              <w:snapToGrid w:val="0"/>
              <w:spacing w:beforeLines="0" w:before="60" w:afterLines="0" w:after="60" w:line="240" w:lineRule="auto"/>
              <w:rPr>
                <w:rFonts w:ascii="Times New Roman" w:hAnsi="Times New Roman"/>
                <w:sz w:val="20"/>
                <w:szCs w:val="20"/>
              </w:rPr>
            </w:pPr>
            <w:r>
              <w:rPr>
                <w:rFonts w:ascii="Times New Roman" w:hAnsi="Times New Roman"/>
                <w:sz w:val="20"/>
                <w:szCs w:val="20"/>
              </w:rPr>
              <w:t>For scalable 6GR design for diverse device ty</w:t>
            </w:r>
            <w:r>
              <w:rPr>
                <w:rFonts w:ascii="Times New Roman" w:hAnsi="Times New Roman"/>
                <w:sz w:val="20"/>
                <w:szCs w:val="20"/>
              </w:rPr>
              <w:t>pes, RAN1 to consider</w:t>
            </w:r>
          </w:p>
          <w:p w14:paraId="23F4CFFA" w14:textId="77777777" w:rsidR="00C41F5F" w:rsidRDefault="00832B23">
            <w:pPr>
              <w:pStyle w:val="a9"/>
              <w:numPr>
                <w:ilvl w:val="1"/>
                <w:numId w:val="10"/>
              </w:numPr>
              <w:suppressAutoHyphens/>
              <w:snapToGrid w:val="0"/>
              <w:spacing w:beforeLines="0" w:before="60" w:afterLines="0" w:after="60" w:line="240" w:lineRule="auto"/>
              <w:rPr>
                <w:rFonts w:ascii="Times New Roman" w:hAnsi="Times New Roman"/>
                <w:sz w:val="20"/>
                <w:szCs w:val="20"/>
              </w:rPr>
            </w:pPr>
            <w:r>
              <w:rPr>
                <w:rFonts w:ascii="Times New Roman" w:hAnsi="Times New Roman"/>
                <w:sz w:val="20"/>
                <w:szCs w:val="20"/>
              </w:rPr>
              <w:t>Striving for functionality designs that can be commonly applied to all 6G device types</w:t>
            </w:r>
          </w:p>
          <w:p w14:paraId="01DB62B2" w14:textId="77777777" w:rsidR="00C41F5F" w:rsidRDefault="00832B23">
            <w:pPr>
              <w:pStyle w:val="a9"/>
              <w:numPr>
                <w:ilvl w:val="0"/>
                <w:numId w:val="10"/>
              </w:numPr>
              <w:suppressAutoHyphens/>
              <w:snapToGrid w:val="0"/>
              <w:spacing w:beforeLines="0" w:before="60" w:afterLines="0" w:after="60" w:line="240" w:lineRule="auto"/>
              <w:rPr>
                <w:rFonts w:ascii="Times New Roman" w:hAnsi="Times New Roman"/>
                <w:sz w:val="20"/>
                <w:szCs w:val="20"/>
              </w:rPr>
            </w:pPr>
            <w:r>
              <w:rPr>
                <w:rFonts w:ascii="Times New Roman" w:hAnsi="Times New Roman"/>
                <w:sz w:val="20"/>
                <w:szCs w:val="20"/>
              </w:rPr>
              <w:t>The functionalities commonly applicable to all 6G device types include, but not limited to</w:t>
            </w:r>
          </w:p>
          <w:p w14:paraId="5865F4F8" w14:textId="77777777" w:rsidR="00C41F5F" w:rsidRDefault="00832B23">
            <w:pPr>
              <w:pStyle w:val="a9"/>
              <w:numPr>
                <w:ilvl w:val="1"/>
                <w:numId w:val="10"/>
              </w:numPr>
              <w:suppressAutoHyphens/>
              <w:snapToGrid w:val="0"/>
              <w:spacing w:beforeLines="0" w:before="60" w:afterLines="0" w:after="60" w:line="240" w:lineRule="auto"/>
              <w:rPr>
                <w:rFonts w:ascii="Times New Roman" w:hAnsi="Times New Roman"/>
                <w:sz w:val="20"/>
                <w:szCs w:val="20"/>
              </w:rPr>
            </w:pPr>
            <w:r>
              <w:rPr>
                <w:rFonts w:ascii="Times New Roman" w:hAnsi="Times New Roman"/>
                <w:sz w:val="20"/>
                <w:szCs w:val="20"/>
              </w:rPr>
              <w:t xml:space="preserve">Basic PHY features, such as </w:t>
            </w:r>
            <w:r>
              <w:rPr>
                <w:rFonts w:ascii="Times New Roman" w:hAnsi="Times New Roman"/>
                <w:sz w:val="20"/>
                <w:szCs w:val="20"/>
                <w:highlight w:val="yellow"/>
              </w:rPr>
              <w:t>waveform</w:t>
            </w:r>
            <w:r>
              <w:rPr>
                <w:rFonts w:ascii="Times New Roman" w:hAnsi="Times New Roman"/>
                <w:sz w:val="20"/>
                <w:szCs w:val="20"/>
              </w:rPr>
              <w:t xml:space="preserve">, coding, frame structure, </w:t>
            </w:r>
            <w:r>
              <w:rPr>
                <w:rFonts w:ascii="Times New Roman" w:hAnsi="Times New Roman"/>
                <w:sz w:val="20"/>
                <w:szCs w:val="20"/>
                <w:highlight w:val="yellow"/>
              </w:rPr>
              <w:t>single numerology per band</w:t>
            </w:r>
          </w:p>
          <w:p w14:paraId="5A73B1AD" w14:textId="77777777" w:rsidR="00C41F5F" w:rsidRDefault="00832B23">
            <w:pPr>
              <w:pStyle w:val="a9"/>
              <w:numPr>
                <w:ilvl w:val="1"/>
                <w:numId w:val="10"/>
              </w:numPr>
              <w:suppressAutoHyphens/>
              <w:snapToGrid w:val="0"/>
              <w:spacing w:beforeLines="0" w:before="60" w:afterLines="0" w:after="60" w:line="240" w:lineRule="auto"/>
              <w:rPr>
                <w:rFonts w:ascii="Times New Roman" w:hAnsi="Times New Roman"/>
                <w:sz w:val="20"/>
                <w:szCs w:val="20"/>
              </w:rPr>
            </w:pPr>
            <w:r>
              <w:rPr>
                <w:rFonts w:ascii="Times New Roman" w:hAnsi="Times New Roman"/>
                <w:sz w:val="20"/>
                <w:szCs w:val="20"/>
                <w:highlight w:val="yellow"/>
              </w:rPr>
              <w:t>Basic</w:t>
            </w:r>
            <w:r>
              <w:rPr>
                <w:rFonts w:ascii="Times New Roman" w:hAnsi="Times New Roman"/>
                <w:sz w:val="20"/>
                <w:szCs w:val="20"/>
              </w:rPr>
              <w:t xml:space="preserve"> idle mode procedures </w:t>
            </w:r>
            <w:r>
              <w:rPr>
                <w:rFonts w:ascii="Times New Roman" w:hAnsi="Times New Roman"/>
                <w:sz w:val="20"/>
                <w:szCs w:val="20"/>
                <w:highlight w:val="yellow"/>
              </w:rPr>
              <w:t>from RAN1 perspective</w:t>
            </w:r>
          </w:p>
          <w:p w14:paraId="237413B0" w14:textId="77777777" w:rsidR="00C41F5F" w:rsidRDefault="00832B23">
            <w:pPr>
              <w:pStyle w:val="a9"/>
              <w:numPr>
                <w:ilvl w:val="1"/>
                <w:numId w:val="10"/>
              </w:numPr>
              <w:suppressAutoHyphens/>
              <w:snapToGrid w:val="0"/>
              <w:spacing w:beforeLines="0" w:before="60" w:afterLines="0" w:after="60" w:line="240" w:lineRule="auto"/>
              <w:rPr>
                <w:rFonts w:ascii="Times New Roman" w:hAnsi="Times New Roman"/>
                <w:sz w:val="20"/>
                <w:szCs w:val="20"/>
              </w:rPr>
            </w:pPr>
            <w:r>
              <w:rPr>
                <w:rFonts w:ascii="Times New Roman" w:hAnsi="Times New Roman"/>
                <w:sz w:val="20"/>
                <w:szCs w:val="20"/>
                <w:highlight w:val="yellow"/>
              </w:rPr>
              <w:t>Basic</w:t>
            </w:r>
            <w:r>
              <w:rPr>
                <w:rFonts w:ascii="Times New Roman" w:hAnsi="Times New Roman"/>
                <w:sz w:val="20"/>
                <w:szCs w:val="20"/>
              </w:rPr>
              <w:t xml:space="preserve"> initial access procedures</w:t>
            </w:r>
          </w:p>
          <w:p w14:paraId="3724189C" w14:textId="77777777" w:rsidR="00C41F5F" w:rsidRDefault="00832B23">
            <w:pPr>
              <w:pStyle w:val="a9"/>
              <w:numPr>
                <w:ilvl w:val="1"/>
                <w:numId w:val="10"/>
              </w:numPr>
              <w:suppressAutoHyphens/>
              <w:snapToGrid w:val="0"/>
              <w:spacing w:beforeLines="0" w:before="60" w:afterLines="0" w:after="60" w:line="240" w:lineRule="auto"/>
              <w:rPr>
                <w:rFonts w:ascii="Times New Roman" w:hAnsi="Times New Roman"/>
                <w:sz w:val="20"/>
                <w:szCs w:val="20"/>
              </w:rPr>
            </w:pPr>
            <w:r>
              <w:rPr>
                <w:rFonts w:ascii="Times New Roman" w:hAnsi="Times New Roman"/>
                <w:sz w:val="20"/>
                <w:szCs w:val="20"/>
              </w:rPr>
              <w:t>Basic DL/UL control</w:t>
            </w:r>
            <w:r>
              <w:rPr>
                <w:rFonts w:ascii="Times New Roman" w:hAnsi="Times New Roman"/>
                <w:sz w:val="20"/>
                <w:szCs w:val="20"/>
                <w:highlight w:val="yellow"/>
              </w:rPr>
              <w:t>, scheduling/HARQ</w:t>
            </w:r>
          </w:p>
          <w:p w14:paraId="7ED0F20F" w14:textId="77777777" w:rsidR="00C41F5F" w:rsidRDefault="00832B23">
            <w:pPr>
              <w:pStyle w:val="a9"/>
              <w:numPr>
                <w:ilvl w:val="1"/>
                <w:numId w:val="10"/>
              </w:numPr>
              <w:suppressAutoHyphens/>
              <w:snapToGrid w:val="0"/>
              <w:spacing w:beforeLines="0" w:before="60" w:afterLines="0" w:after="60" w:line="240" w:lineRule="auto"/>
              <w:rPr>
                <w:rFonts w:ascii="Times New Roman" w:hAnsi="Times New Roman"/>
                <w:sz w:val="20"/>
                <w:szCs w:val="20"/>
              </w:rPr>
            </w:pPr>
            <w:r>
              <w:rPr>
                <w:rFonts w:ascii="Times New Roman" w:hAnsi="Times New Roman"/>
                <w:sz w:val="20"/>
                <w:szCs w:val="20"/>
              </w:rPr>
              <w:lastRenderedPageBreak/>
              <w:t>MRSS</w:t>
            </w:r>
          </w:p>
          <w:p w14:paraId="30E31E0A" w14:textId="77777777" w:rsidR="00C41F5F" w:rsidRDefault="00832B23">
            <w:pPr>
              <w:pStyle w:val="a9"/>
              <w:numPr>
                <w:ilvl w:val="1"/>
                <w:numId w:val="10"/>
              </w:numPr>
              <w:suppressAutoHyphens/>
              <w:snapToGrid w:val="0"/>
              <w:spacing w:beforeLines="0" w:before="60" w:afterLines="0" w:after="60" w:line="240" w:lineRule="auto"/>
              <w:rPr>
                <w:rFonts w:ascii="Times New Roman" w:hAnsi="Times New Roman"/>
                <w:sz w:val="20"/>
                <w:szCs w:val="20"/>
                <w:highlight w:val="yellow"/>
              </w:rPr>
            </w:pPr>
            <w:r>
              <w:rPr>
                <w:rFonts w:ascii="Times New Roman" w:hAnsi="Times New Roman"/>
                <w:sz w:val="20"/>
                <w:szCs w:val="20"/>
                <w:highlight w:val="yellow"/>
              </w:rPr>
              <w:t>[Coverage enhancements]</w:t>
            </w:r>
          </w:p>
          <w:p w14:paraId="14043163" w14:textId="77777777" w:rsidR="00C41F5F" w:rsidRDefault="00832B23">
            <w:pPr>
              <w:pStyle w:val="a9"/>
              <w:numPr>
                <w:ilvl w:val="1"/>
                <w:numId w:val="10"/>
              </w:numPr>
              <w:suppressAutoHyphens/>
              <w:snapToGrid w:val="0"/>
              <w:spacing w:beforeLines="0" w:before="60" w:afterLines="0" w:after="60" w:line="240" w:lineRule="auto"/>
              <w:rPr>
                <w:rFonts w:ascii="Times New Roman" w:hAnsi="Times New Roman"/>
                <w:sz w:val="20"/>
                <w:szCs w:val="20"/>
                <w:highlight w:val="yellow"/>
              </w:rPr>
            </w:pPr>
            <w:r>
              <w:rPr>
                <w:rFonts w:ascii="Times New Roman" w:hAnsi="Times New Roman"/>
                <w:sz w:val="20"/>
                <w:szCs w:val="20"/>
                <w:highlight w:val="yellow"/>
              </w:rPr>
              <w:t>[Energy saving]</w:t>
            </w:r>
          </w:p>
          <w:p w14:paraId="7FE76EF0" w14:textId="77777777" w:rsidR="00C41F5F" w:rsidRDefault="00832B23">
            <w:pPr>
              <w:pStyle w:val="a9"/>
              <w:numPr>
                <w:ilvl w:val="1"/>
                <w:numId w:val="10"/>
              </w:numPr>
              <w:suppressAutoHyphens/>
              <w:snapToGrid w:val="0"/>
              <w:spacing w:beforeLines="0" w:before="60" w:afterLines="0" w:after="60" w:line="240" w:lineRule="auto"/>
              <w:rPr>
                <w:sz w:val="20"/>
                <w:highlight w:val="yellow"/>
              </w:rPr>
            </w:pPr>
            <w:r>
              <w:rPr>
                <w:rFonts w:ascii="Times New Roman" w:hAnsi="Times New Roman"/>
                <w:sz w:val="20"/>
                <w:szCs w:val="20"/>
                <w:highlight w:val="yellow"/>
              </w:rPr>
              <w:t>Note: adjustment on the design is allow</w:t>
            </w:r>
            <w:r>
              <w:rPr>
                <w:rFonts w:ascii="Times New Roman" w:hAnsi="Times New Roman"/>
                <w:sz w:val="20"/>
                <w:szCs w:val="20"/>
                <w:highlight w:val="yellow"/>
              </w:rPr>
              <w:t>ed for a certain device type</w:t>
            </w:r>
          </w:p>
        </w:tc>
      </w:tr>
    </w:tbl>
    <w:p w14:paraId="1C891AEC" w14:textId="5DE5BFC3" w:rsidR="00C41F5F" w:rsidRDefault="00832B23">
      <w:pPr>
        <w:snapToGrid w:val="0"/>
        <w:spacing w:before="120" w:after="120"/>
        <w:rPr>
          <w:sz w:val="20"/>
        </w:rPr>
      </w:pPr>
      <w:r>
        <w:rPr>
          <w:sz w:val="20"/>
        </w:rPr>
        <w:lastRenderedPageBreak/>
        <w:t>In our views,</w:t>
      </w:r>
      <w:r>
        <w:rPr>
          <w:rFonts w:hint="eastAsia"/>
          <w:sz w:val="20"/>
        </w:rPr>
        <w:t xml:space="preserve"> </w:t>
      </w:r>
      <w:r>
        <w:rPr>
          <w:sz w:val="20"/>
        </w:rPr>
        <w:t xml:space="preserve">decision regarding </w:t>
      </w:r>
      <w:r>
        <w:rPr>
          <w:rFonts w:hint="eastAsia"/>
          <w:sz w:val="20"/>
        </w:rPr>
        <w:t>o</w:t>
      </w:r>
      <w:r>
        <w:rPr>
          <w:sz w:val="20"/>
        </w:rPr>
        <w:t>n which</w:t>
      </w:r>
      <w:r>
        <w:rPr>
          <w:rFonts w:hint="eastAsia"/>
          <w:sz w:val="20"/>
        </w:rPr>
        <w:t xml:space="preserve"> basic PHY features should be commonly applied </w:t>
      </w:r>
      <w:r>
        <w:rPr>
          <w:sz w:val="20"/>
        </w:rPr>
        <w:t>to</w:t>
      </w:r>
      <w:r>
        <w:rPr>
          <w:rFonts w:hint="eastAsia"/>
          <w:sz w:val="20"/>
        </w:rPr>
        <w:t xml:space="preserve"> different device types need to </w:t>
      </w:r>
      <w:r>
        <w:rPr>
          <w:sz w:val="20"/>
        </w:rPr>
        <w:t>be made</w:t>
      </w:r>
      <w:r>
        <w:rPr>
          <w:rFonts w:hint="eastAsia"/>
          <w:sz w:val="20"/>
        </w:rPr>
        <w:t xml:space="preserve"> case by case. For example, </w:t>
      </w:r>
      <w:r>
        <w:rPr>
          <w:sz w:val="20"/>
        </w:rPr>
        <w:t>i</w:t>
      </w:r>
      <w:r>
        <w:rPr>
          <w:rFonts w:hint="eastAsia"/>
          <w:sz w:val="20"/>
        </w:rPr>
        <w:t xml:space="preserve">f </w:t>
      </w:r>
      <w:r>
        <w:rPr>
          <w:rFonts w:hint="eastAsia"/>
          <w:sz w:val="20"/>
        </w:rPr>
        <w:t>different device type</w:t>
      </w:r>
      <w:r>
        <w:rPr>
          <w:sz w:val="20"/>
        </w:rPr>
        <w:t>s</w:t>
      </w:r>
      <w:r>
        <w:rPr>
          <w:rFonts w:hint="eastAsia"/>
          <w:sz w:val="20"/>
        </w:rPr>
        <w:t xml:space="preserve"> operate on different frequency range</w:t>
      </w:r>
      <w:r>
        <w:rPr>
          <w:sz w:val="20"/>
        </w:rPr>
        <w:t>s</w:t>
      </w:r>
      <w:r>
        <w:rPr>
          <w:rFonts w:hint="eastAsia"/>
          <w:sz w:val="20"/>
        </w:rPr>
        <w:t xml:space="preserve">, it </w:t>
      </w:r>
      <w:r>
        <w:rPr>
          <w:sz w:val="20"/>
        </w:rPr>
        <w:t>would be</w:t>
      </w:r>
      <w:r>
        <w:rPr>
          <w:rFonts w:hint="eastAsia"/>
          <w:sz w:val="20"/>
        </w:rPr>
        <w:t xml:space="preserve"> </w:t>
      </w:r>
      <w:r>
        <w:rPr>
          <w:sz w:val="20"/>
        </w:rPr>
        <w:t>unclear</w:t>
      </w:r>
      <w:r>
        <w:rPr>
          <w:rFonts w:hint="eastAsia"/>
          <w:sz w:val="20"/>
        </w:rPr>
        <w:t xml:space="preserve"> whether the cell search procedure </w:t>
      </w:r>
      <w:r>
        <w:rPr>
          <w:sz w:val="20"/>
        </w:rPr>
        <w:t>can be</w:t>
      </w:r>
      <w:r>
        <w:rPr>
          <w:rFonts w:hint="eastAsia"/>
          <w:sz w:val="20"/>
        </w:rPr>
        <w:t xml:space="preserve"> common or not. </w:t>
      </w:r>
      <w:r>
        <w:rPr>
          <w:sz w:val="20"/>
        </w:rPr>
        <w:t>Specifically</w:t>
      </w:r>
      <w:r>
        <w:rPr>
          <w:rFonts w:hint="eastAsia"/>
          <w:sz w:val="20"/>
        </w:rPr>
        <w:t xml:space="preserve">, </w:t>
      </w:r>
      <w:r>
        <w:rPr>
          <w:sz w:val="20"/>
        </w:rPr>
        <w:t xml:space="preserve">massive IoT has been agreed to be supported for at least FR1. If the </w:t>
      </w:r>
      <w:r>
        <w:rPr>
          <w:rFonts w:hint="eastAsia"/>
          <w:sz w:val="20"/>
        </w:rPr>
        <w:t xml:space="preserve">sync raster </w:t>
      </w:r>
      <w:r>
        <w:rPr>
          <w:sz w:val="20"/>
        </w:rPr>
        <w:t xml:space="preserve">of </w:t>
      </w:r>
      <w:r>
        <w:rPr>
          <w:rFonts w:hint="eastAsia"/>
          <w:sz w:val="20"/>
        </w:rPr>
        <w:t>low FDD frequency bands</w:t>
      </w:r>
      <w:r>
        <w:rPr>
          <w:sz w:val="20"/>
        </w:rPr>
        <w:t xml:space="preserve"> is designed sparse</w:t>
      </w:r>
      <w:r>
        <w:rPr>
          <w:rFonts w:hint="eastAsia"/>
          <w:sz w:val="20"/>
        </w:rPr>
        <w:t>r</w:t>
      </w:r>
      <w:r>
        <w:rPr>
          <w:sz w:val="20"/>
        </w:rPr>
        <w:t xml:space="preserve"> to reduce the cell search comple</w:t>
      </w:r>
      <w:r>
        <w:rPr>
          <w:sz w:val="20"/>
        </w:rPr>
        <w:t>xity of IoT devices</w:t>
      </w:r>
      <w:r>
        <w:rPr>
          <w:rFonts w:hint="eastAsia"/>
          <w:sz w:val="20"/>
        </w:rPr>
        <w:t xml:space="preserve">, </w:t>
      </w:r>
      <w:r>
        <w:rPr>
          <w:sz w:val="20"/>
        </w:rPr>
        <w:t>the</w:t>
      </w:r>
      <w:r>
        <w:rPr>
          <w:rFonts w:hint="eastAsia"/>
          <w:sz w:val="20"/>
        </w:rPr>
        <w:t xml:space="preserve"> sync raster granularity</w:t>
      </w:r>
      <w:r>
        <w:rPr>
          <w:sz w:val="20"/>
        </w:rPr>
        <w:t xml:space="preserve"> </w:t>
      </w:r>
      <w:r>
        <w:rPr>
          <w:rFonts w:hint="eastAsia"/>
          <w:sz w:val="20"/>
        </w:rPr>
        <w:t>at high frequency band</w:t>
      </w:r>
      <w:r>
        <w:rPr>
          <w:sz w:val="20"/>
        </w:rPr>
        <w:t>s</w:t>
      </w:r>
      <w:r>
        <w:rPr>
          <w:rFonts w:hint="eastAsia"/>
          <w:sz w:val="20"/>
        </w:rPr>
        <w:t xml:space="preserve"> </w:t>
      </w:r>
      <w:r>
        <w:rPr>
          <w:sz w:val="20"/>
        </w:rPr>
        <w:t>which support high end UEs</w:t>
      </w:r>
      <w:r>
        <w:rPr>
          <w:rFonts w:hint="eastAsia"/>
          <w:sz w:val="20"/>
        </w:rPr>
        <w:t xml:space="preserve"> may be different. </w:t>
      </w:r>
      <w:r>
        <w:rPr>
          <w:sz w:val="20"/>
        </w:rPr>
        <w:t xml:space="preserve">Additionally, the design of 6G </w:t>
      </w:r>
      <w:r>
        <w:rPr>
          <w:rFonts w:hint="eastAsia"/>
          <w:sz w:val="20"/>
        </w:rPr>
        <w:t>LDPC code</w:t>
      </w:r>
      <w:r>
        <w:rPr>
          <w:sz w:val="20"/>
        </w:rPr>
        <w:t xml:space="preserve"> to support</w:t>
      </w:r>
      <w:r>
        <w:rPr>
          <w:rFonts w:hint="eastAsia"/>
          <w:sz w:val="20"/>
        </w:rPr>
        <w:t xml:space="preserve"> higher throughput is under discussion. </w:t>
      </w:r>
      <w:r>
        <w:rPr>
          <w:sz w:val="20"/>
        </w:rPr>
        <w:t>But whether such a design can be</w:t>
      </w:r>
      <w:r>
        <w:rPr>
          <w:rFonts w:hint="eastAsia"/>
          <w:sz w:val="20"/>
        </w:rPr>
        <w:t xml:space="preserve"> applied to all</w:t>
      </w:r>
      <w:r>
        <w:rPr>
          <w:rFonts w:hint="eastAsia"/>
          <w:sz w:val="20"/>
        </w:rPr>
        <w:t xml:space="preserve"> device types</w:t>
      </w:r>
      <w:r>
        <w:rPr>
          <w:sz w:val="20"/>
        </w:rPr>
        <w:t xml:space="preserve"> is unclear</w:t>
      </w:r>
      <w:r>
        <w:rPr>
          <w:rFonts w:hint="eastAsia"/>
          <w:sz w:val="20"/>
        </w:rPr>
        <w:t xml:space="preserve">. </w:t>
      </w:r>
      <w:r>
        <w:rPr>
          <w:sz w:val="20"/>
        </w:rPr>
        <w:t xml:space="preserve">Similar issues arise in waveform/modulation discussion, i.e., low </w:t>
      </w:r>
      <w:r>
        <w:rPr>
          <w:sz w:val="20"/>
        </w:rPr>
        <w:t>PAP</w:t>
      </w:r>
      <w:r>
        <w:rPr>
          <w:sz w:val="20"/>
        </w:rPr>
        <w:t>R</w:t>
      </w:r>
      <w:r>
        <w:rPr>
          <w:sz w:val="20"/>
        </w:rPr>
        <w:t xml:space="preserve"> </w:t>
      </w:r>
      <w:r>
        <w:rPr>
          <w:sz w:val="20"/>
        </w:rPr>
        <w:t xml:space="preserve">waveform or shaping modulation. </w:t>
      </w:r>
    </w:p>
    <w:p w14:paraId="52DA860E" w14:textId="51FA8C88" w:rsidR="00C41F5F" w:rsidRDefault="00832B23">
      <w:pPr>
        <w:snapToGrid w:val="0"/>
        <w:spacing w:before="120" w:after="120"/>
        <w:rPr>
          <w:sz w:val="20"/>
        </w:rPr>
      </w:pPr>
      <w:r>
        <w:rPr>
          <w:sz w:val="20"/>
        </w:rPr>
        <w:t xml:space="preserve">Meanwhile, to ensure </w:t>
      </w:r>
      <w:r>
        <w:rPr>
          <w:sz w:val="20"/>
        </w:rPr>
        <w:t>eMBB service is supported with higher priority, it’s unreasonable to define the common set based</w:t>
      </w:r>
      <w:r>
        <w:rPr>
          <w:sz w:val="20"/>
        </w:rPr>
        <w:t xml:space="preserve"> on either lower- or lowest-tier device. </w:t>
      </w:r>
      <w:r>
        <w:rPr>
          <w:rFonts w:hint="eastAsia"/>
          <w:sz w:val="20"/>
        </w:rPr>
        <w:t>Therefore, we should be carefu</w:t>
      </w:r>
      <w:r>
        <w:rPr>
          <w:sz w:val="20"/>
        </w:rPr>
        <w:t>l</w:t>
      </w:r>
      <w:r>
        <w:rPr>
          <w:rFonts w:hint="eastAsia"/>
          <w:sz w:val="20"/>
        </w:rPr>
        <w:t xml:space="preserve"> </w:t>
      </w:r>
      <w:r>
        <w:rPr>
          <w:sz w:val="20"/>
        </w:rPr>
        <w:t xml:space="preserve">about the </w:t>
      </w:r>
      <w:r>
        <w:rPr>
          <w:rFonts w:hint="eastAsia"/>
          <w:sz w:val="20"/>
        </w:rPr>
        <w:t>common</w:t>
      </w:r>
      <w:r>
        <w:rPr>
          <w:sz w:val="20"/>
        </w:rPr>
        <w:t xml:space="preserve"> application of</w:t>
      </w:r>
      <w:r>
        <w:rPr>
          <w:rFonts w:hint="eastAsia"/>
          <w:sz w:val="20"/>
        </w:rPr>
        <w:t xml:space="preserve"> a functionality</w:t>
      </w:r>
      <w:r>
        <w:rPr>
          <w:sz w:val="20"/>
        </w:rPr>
        <w:t>/feature</w:t>
      </w:r>
      <w:r>
        <w:rPr>
          <w:rFonts w:hint="eastAsia"/>
          <w:sz w:val="20"/>
        </w:rPr>
        <w:t xml:space="preserve"> </w:t>
      </w:r>
      <w:r>
        <w:rPr>
          <w:sz w:val="20"/>
        </w:rPr>
        <w:t>to diverse device types</w:t>
      </w:r>
      <w:r>
        <w:rPr>
          <w:rFonts w:hint="eastAsia"/>
          <w:sz w:val="20"/>
        </w:rPr>
        <w:t xml:space="preserve"> before the definition </w:t>
      </w:r>
      <w:r>
        <w:rPr>
          <w:sz w:val="20"/>
        </w:rPr>
        <w:t xml:space="preserve">of </w:t>
      </w:r>
      <w:r>
        <w:rPr>
          <w:rFonts w:hint="eastAsia"/>
          <w:sz w:val="20"/>
        </w:rPr>
        <w:t xml:space="preserve">device type and functionality </w:t>
      </w:r>
      <w:r>
        <w:rPr>
          <w:sz w:val="20"/>
        </w:rPr>
        <w:t>are</w:t>
      </w:r>
      <w:r>
        <w:rPr>
          <w:rFonts w:hint="eastAsia"/>
          <w:sz w:val="20"/>
        </w:rPr>
        <w:t xml:space="preserve"> clear</w:t>
      </w:r>
      <w:r>
        <w:rPr>
          <w:sz w:val="20"/>
        </w:rPr>
        <w:t xml:space="preserve">. If further discussion is expected, at least the per device type based approach is preferred or with the baseline to focus on the normal or higher-tier device. </w:t>
      </w:r>
    </w:p>
    <w:p w14:paraId="2455BB60" w14:textId="77777777" w:rsidR="00C41F5F" w:rsidRDefault="00832B23">
      <w:pPr>
        <w:snapToGrid w:val="0"/>
        <w:spacing w:before="120" w:after="120"/>
        <w:rPr>
          <w:bCs/>
          <w:i/>
          <w:sz w:val="20"/>
        </w:rPr>
      </w:pPr>
      <w:r>
        <w:rPr>
          <w:b/>
          <w:bCs/>
          <w:i/>
          <w:sz w:val="20"/>
        </w:rPr>
        <w:t xml:space="preserve">Proposal </w:t>
      </w:r>
      <w:r>
        <w:rPr>
          <w:rFonts w:hint="eastAsia"/>
          <w:b/>
          <w:bCs/>
          <w:i/>
          <w:sz w:val="20"/>
        </w:rPr>
        <w:t>2</w:t>
      </w:r>
      <w:r>
        <w:rPr>
          <w:b/>
          <w:bCs/>
          <w:i/>
          <w:sz w:val="20"/>
        </w:rPr>
        <w:t xml:space="preserve">-2: </w:t>
      </w:r>
      <w:r>
        <w:rPr>
          <w:bCs/>
          <w:i/>
          <w:sz w:val="20"/>
        </w:rPr>
        <w:t xml:space="preserve">For 6GR </w:t>
      </w:r>
      <w:r>
        <w:rPr>
          <w:rFonts w:hint="eastAsia"/>
          <w:bCs/>
          <w:i/>
          <w:sz w:val="20"/>
        </w:rPr>
        <w:t>design</w:t>
      </w:r>
      <w:r>
        <w:rPr>
          <w:bCs/>
          <w:i/>
          <w:sz w:val="20"/>
        </w:rPr>
        <w:t xml:space="preserve">, the </w:t>
      </w:r>
      <w:r>
        <w:rPr>
          <w:rFonts w:hint="eastAsia"/>
          <w:bCs/>
          <w:i/>
          <w:sz w:val="20"/>
        </w:rPr>
        <w:t>discussion</w:t>
      </w:r>
      <w:r>
        <w:rPr>
          <w:bCs/>
          <w:i/>
          <w:sz w:val="20"/>
        </w:rPr>
        <w:t xml:space="preserve"> on the common functionality set applicable for al</w:t>
      </w:r>
      <w:r>
        <w:rPr>
          <w:bCs/>
          <w:i/>
          <w:sz w:val="20"/>
        </w:rPr>
        <w:t xml:space="preserve">l device types can be postponed till the definition/assumption for each device type is clear. </w:t>
      </w:r>
    </w:p>
    <w:p w14:paraId="0802281F"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Support of the minimum spectrum allocation</w:t>
      </w:r>
    </w:p>
    <w:p w14:paraId="55C9E35C" w14:textId="77777777" w:rsidR="00C41F5F" w:rsidRDefault="00832B23">
      <w:pPr>
        <w:snapToGrid w:val="0"/>
        <w:spacing w:beforeLines="0" w:before="120" w:after="120" w:line="240" w:lineRule="auto"/>
        <w:ind w:right="210"/>
        <w:rPr>
          <w:b/>
          <w:bCs/>
          <w:sz w:val="20"/>
        </w:rPr>
      </w:pPr>
      <w:r>
        <w:rPr>
          <w:sz w:val="20"/>
        </w:rPr>
        <w:t>Based on RAN1 work plan for 6G, the decision of smallest maximum bandwidth needs to be decided since it has significan</w:t>
      </w:r>
      <w:r>
        <w:rPr>
          <w:sz w:val="20"/>
        </w:rPr>
        <w:t>t impacts on the design of SSB, CORESE#0 and other common signals, which will start at in next RAN1 meeting. In RAN1#122-bis, the following proposal was discussed without concensus.</w:t>
      </w:r>
    </w:p>
    <w:tbl>
      <w:tblPr>
        <w:tblStyle w:val="af3"/>
        <w:tblW w:w="0" w:type="auto"/>
        <w:tblLook w:val="04A0" w:firstRow="1" w:lastRow="0" w:firstColumn="1" w:lastColumn="0" w:noHBand="0" w:noVBand="1"/>
      </w:tblPr>
      <w:tblGrid>
        <w:gridCol w:w="9650"/>
      </w:tblGrid>
      <w:tr w:rsidR="00C41F5F" w14:paraId="1AA1E218" w14:textId="77777777">
        <w:tc>
          <w:tcPr>
            <w:tcW w:w="9650" w:type="dxa"/>
          </w:tcPr>
          <w:p w14:paraId="3D241FCE" w14:textId="77777777" w:rsidR="00C41F5F" w:rsidRDefault="00832B23">
            <w:pPr>
              <w:pStyle w:val="a9"/>
              <w:snapToGrid w:val="0"/>
              <w:spacing w:beforeLines="0" w:before="120" w:line="240" w:lineRule="auto"/>
              <w:rPr>
                <w:rFonts w:ascii="Times New Roman" w:hAnsi="Times New Roman"/>
                <w:b/>
                <w:bCs/>
                <w:kern w:val="0"/>
                <w:sz w:val="20"/>
                <w:szCs w:val="20"/>
              </w:rPr>
            </w:pPr>
            <w:r>
              <w:rPr>
                <w:rFonts w:ascii="Times New Roman" w:hAnsi="Times New Roman"/>
                <w:b/>
                <w:bCs/>
                <w:sz w:val="20"/>
                <w:szCs w:val="20"/>
                <w:highlight w:val="yellow"/>
              </w:rPr>
              <w:t>Proposal 4.1b:</w:t>
            </w:r>
          </w:p>
          <w:p w14:paraId="2DE50471" w14:textId="77777777" w:rsidR="00C41F5F" w:rsidRDefault="00832B23">
            <w:pPr>
              <w:pStyle w:val="a9"/>
              <w:numPr>
                <w:ilvl w:val="0"/>
                <w:numId w:val="11"/>
              </w:numPr>
              <w:suppressAutoHyphens/>
              <w:snapToGrid w:val="0"/>
              <w:spacing w:beforeLines="0" w:before="120" w:line="240" w:lineRule="auto"/>
              <w:rPr>
                <w:rFonts w:ascii="Times New Roman" w:hAnsi="Times New Roman"/>
                <w:sz w:val="20"/>
                <w:szCs w:val="20"/>
              </w:rPr>
            </w:pPr>
            <w:r>
              <w:rPr>
                <w:rFonts w:ascii="Times New Roman" w:hAnsi="Times New Roman"/>
                <w:sz w:val="20"/>
                <w:szCs w:val="20"/>
              </w:rPr>
              <w:t xml:space="preserve">For the smallest maximum supported RF and BB UE BW without </w:t>
            </w:r>
            <w:r>
              <w:rPr>
                <w:rFonts w:ascii="Times New Roman" w:hAnsi="Times New Roman"/>
                <w:sz w:val="20"/>
                <w:szCs w:val="20"/>
              </w:rPr>
              <w:t>spectrum aggregation for at least one low-tier device type supported by 6GR framework, from physical layer perspective, RAN1 to consider at least</w:t>
            </w:r>
          </w:p>
          <w:p w14:paraId="45E83E63" w14:textId="77777777" w:rsidR="00C41F5F" w:rsidRDefault="00832B23">
            <w:pPr>
              <w:pStyle w:val="a9"/>
              <w:numPr>
                <w:ilvl w:val="1"/>
                <w:numId w:val="11"/>
              </w:numPr>
              <w:suppressAutoHyphens/>
              <w:snapToGrid w:val="0"/>
              <w:spacing w:beforeLines="0" w:before="120" w:line="240" w:lineRule="auto"/>
              <w:rPr>
                <w:rFonts w:ascii="Times New Roman" w:hAnsi="Times New Roman"/>
                <w:sz w:val="20"/>
                <w:szCs w:val="20"/>
              </w:rPr>
            </w:pPr>
            <w:r>
              <w:rPr>
                <w:rFonts w:ascii="Times New Roman" w:hAnsi="Times New Roman"/>
                <w:sz w:val="20"/>
                <w:szCs w:val="20"/>
              </w:rPr>
              <w:t>Overall device complexity</w:t>
            </w:r>
          </w:p>
          <w:p w14:paraId="79AE45E9" w14:textId="77777777" w:rsidR="00C41F5F" w:rsidRDefault="00832B23">
            <w:pPr>
              <w:pStyle w:val="a9"/>
              <w:numPr>
                <w:ilvl w:val="2"/>
                <w:numId w:val="11"/>
              </w:numPr>
              <w:suppressAutoHyphens/>
              <w:snapToGrid w:val="0"/>
              <w:spacing w:beforeLines="0" w:before="120" w:line="240" w:lineRule="auto"/>
              <w:rPr>
                <w:rFonts w:ascii="Times New Roman" w:hAnsi="Times New Roman"/>
                <w:sz w:val="20"/>
                <w:szCs w:val="20"/>
              </w:rPr>
            </w:pPr>
            <w:r>
              <w:rPr>
                <w:rFonts w:ascii="Times New Roman" w:hAnsi="Times New Roman"/>
                <w:sz w:val="20"/>
                <w:szCs w:val="20"/>
              </w:rPr>
              <w:t>Note: also taking into account other complexity reduction techniques than BW reducti</w:t>
            </w:r>
            <w:r>
              <w:rPr>
                <w:rFonts w:ascii="Times New Roman" w:hAnsi="Times New Roman"/>
                <w:sz w:val="20"/>
                <w:szCs w:val="20"/>
              </w:rPr>
              <w:t>on</w:t>
            </w:r>
          </w:p>
          <w:p w14:paraId="2DBCF5B4" w14:textId="77777777" w:rsidR="00C41F5F" w:rsidRDefault="00832B23">
            <w:pPr>
              <w:pStyle w:val="a9"/>
              <w:numPr>
                <w:ilvl w:val="1"/>
                <w:numId w:val="11"/>
              </w:numPr>
              <w:suppressAutoHyphens/>
              <w:snapToGrid w:val="0"/>
              <w:spacing w:beforeLines="0" w:before="120" w:line="240" w:lineRule="auto"/>
              <w:rPr>
                <w:rFonts w:ascii="Times New Roman" w:hAnsi="Times New Roman"/>
                <w:sz w:val="20"/>
                <w:szCs w:val="20"/>
              </w:rPr>
            </w:pPr>
            <w:r>
              <w:rPr>
                <w:rFonts w:ascii="Times New Roman" w:hAnsi="Times New Roman"/>
                <w:sz w:val="20"/>
                <w:szCs w:val="20"/>
              </w:rPr>
              <w:t>Overall system performance impact</w:t>
            </w:r>
          </w:p>
          <w:p w14:paraId="452AD02F" w14:textId="77777777" w:rsidR="00C41F5F" w:rsidRDefault="00832B23">
            <w:pPr>
              <w:pStyle w:val="a9"/>
              <w:numPr>
                <w:ilvl w:val="1"/>
                <w:numId w:val="11"/>
              </w:numPr>
              <w:suppressAutoHyphens/>
              <w:snapToGrid w:val="0"/>
              <w:spacing w:beforeLines="0" w:before="120" w:line="240" w:lineRule="auto"/>
              <w:rPr>
                <w:rFonts w:ascii="Times New Roman" w:hAnsi="Times New Roman"/>
                <w:sz w:val="20"/>
                <w:szCs w:val="20"/>
              </w:rPr>
            </w:pPr>
            <w:r>
              <w:rPr>
                <w:rFonts w:ascii="Times New Roman" w:hAnsi="Times New Roman"/>
                <w:sz w:val="20"/>
                <w:szCs w:val="20"/>
              </w:rPr>
              <w:t>Energy efficiency for both BS and UE</w:t>
            </w:r>
          </w:p>
          <w:p w14:paraId="16817418" w14:textId="77777777" w:rsidR="00C41F5F" w:rsidRDefault="00832B23">
            <w:pPr>
              <w:pStyle w:val="a9"/>
              <w:numPr>
                <w:ilvl w:val="1"/>
                <w:numId w:val="11"/>
              </w:numPr>
              <w:suppressAutoHyphens/>
              <w:snapToGrid w:val="0"/>
              <w:spacing w:beforeLines="0" w:before="120" w:line="240" w:lineRule="auto"/>
              <w:rPr>
                <w:rFonts w:ascii="Times New Roman" w:hAnsi="Times New Roman"/>
                <w:sz w:val="20"/>
                <w:szCs w:val="20"/>
                <w:highlight w:val="yellow"/>
              </w:rPr>
            </w:pPr>
            <w:r>
              <w:rPr>
                <w:rFonts w:ascii="Times New Roman" w:hAnsi="Times New Roman"/>
                <w:sz w:val="20"/>
                <w:szCs w:val="20"/>
                <w:highlight w:val="yellow"/>
              </w:rPr>
              <w:t>Minimum spectrum allocation</w:t>
            </w:r>
          </w:p>
          <w:p w14:paraId="7F4F6819" w14:textId="77777777" w:rsidR="00C41F5F" w:rsidRDefault="00832B23">
            <w:pPr>
              <w:pStyle w:val="a9"/>
              <w:numPr>
                <w:ilvl w:val="1"/>
                <w:numId w:val="11"/>
              </w:numPr>
              <w:suppressAutoHyphens/>
              <w:snapToGrid w:val="0"/>
              <w:spacing w:beforeLines="0" w:before="120" w:line="240" w:lineRule="auto"/>
              <w:rPr>
                <w:rFonts w:ascii="Times New Roman" w:hAnsi="Times New Roman"/>
                <w:sz w:val="20"/>
                <w:szCs w:val="20"/>
              </w:rPr>
            </w:pPr>
            <w:r>
              <w:rPr>
                <w:rFonts w:ascii="Times New Roman" w:hAnsi="Times New Roman"/>
                <w:sz w:val="20"/>
                <w:szCs w:val="20"/>
              </w:rPr>
              <w:t>Aim at a single common signals/channels design in idle mode and initial access for diverse device types, as well as meeting mobile broadband service requi</w:t>
            </w:r>
            <w:r>
              <w:rPr>
                <w:rFonts w:ascii="Times New Roman" w:hAnsi="Times New Roman"/>
                <w:sz w:val="20"/>
                <w:szCs w:val="20"/>
              </w:rPr>
              <w:t>rements as high priority</w:t>
            </w:r>
          </w:p>
          <w:p w14:paraId="24598DCE" w14:textId="77777777" w:rsidR="00C41F5F" w:rsidRDefault="00832B23">
            <w:pPr>
              <w:pStyle w:val="a9"/>
              <w:numPr>
                <w:ilvl w:val="1"/>
                <w:numId w:val="11"/>
              </w:numPr>
              <w:suppressAutoHyphens/>
              <w:snapToGrid w:val="0"/>
              <w:spacing w:beforeLines="0" w:before="120" w:line="240" w:lineRule="auto"/>
              <w:rPr>
                <w:rFonts w:ascii="Times New Roman" w:hAnsi="Times New Roman"/>
                <w:sz w:val="20"/>
                <w:szCs w:val="20"/>
              </w:rPr>
            </w:pPr>
            <w:r>
              <w:rPr>
                <w:rFonts w:ascii="Times New Roman" w:hAnsi="Times New Roman"/>
                <w:sz w:val="20"/>
                <w:szCs w:val="20"/>
              </w:rPr>
              <w:t>Note: other aspects (e.g. economies of scale) can be considered by TSG RAN when they make decision on the BW</w:t>
            </w:r>
          </w:p>
        </w:tc>
      </w:tr>
    </w:tbl>
    <w:p w14:paraId="4F6B666B" w14:textId="77777777" w:rsidR="00C41F5F" w:rsidRDefault="00832B23">
      <w:pPr>
        <w:snapToGrid w:val="0"/>
        <w:spacing w:beforeLines="0" w:before="120" w:after="120" w:line="240" w:lineRule="auto"/>
        <w:rPr>
          <w:sz w:val="20"/>
        </w:rPr>
      </w:pPr>
      <w:r>
        <w:rPr>
          <w:rFonts w:hint="eastAsia"/>
          <w:sz w:val="20"/>
        </w:rPr>
        <w:t xml:space="preserve">To determine </w:t>
      </w:r>
      <w:r>
        <w:rPr>
          <w:sz w:val="20"/>
        </w:rPr>
        <w:t>the smallest maximum supported RF and BB UE BW</w:t>
      </w:r>
      <w:r>
        <w:rPr>
          <w:rFonts w:hint="eastAsia"/>
          <w:sz w:val="20"/>
        </w:rPr>
        <w:t xml:space="preserve">, </w:t>
      </w:r>
      <w:r>
        <w:rPr>
          <w:sz w:val="20"/>
        </w:rPr>
        <w:t>in our views, the following factors should be</w:t>
      </w:r>
      <w:r>
        <w:rPr>
          <w:rFonts w:hint="eastAsia"/>
          <w:sz w:val="20"/>
        </w:rPr>
        <w:t xml:space="preserve"> consider</w:t>
      </w:r>
      <w:r>
        <w:rPr>
          <w:sz w:val="20"/>
        </w:rPr>
        <w:t>ed.</w:t>
      </w:r>
    </w:p>
    <w:p w14:paraId="6644FD72" w14:textId="77777777" w:rsidR="00C41F5F" w:rsidRDefault="00832B23">
      <w:pPr>
        <w:numPr>
          <w:ilvl w:val="0"/>
          <w:numId w:val="12"/>
        </w:numPr>
        <w:snapToGrid w:val="0"/>
        <w:spacing w:beforeLines="0" w:before="120" w:after="120" w:line="240" w:lineRule="auto"/>
        <w:rPr>
          <w:sz w:val="20"/>
        </w:rPr>
      </w:pPr>
      <w:r>
        <w:rPr>
          <w:rFonts w:hint="eastAsia"/>
          <w:sz w:val="20"/>
        </w:rPr>
        <w:t>Device complexity and buffer size</w:t>
      </w:r>
      <w:r>
        <w:rPr>
          <w:sz w:val="20"/>
        </w:rPr>
        <w:t>:</w:t>
      </w:r>
      <w:r>
        <w:rPr>
          <w:rFonts w:hint="eastAsia"/>
          <w:sz w:val="20"/>
        </w:rPr>
        <w:t xml:space="preserve"> The complexity and buffer size </w:t>
      </w:r>
      <w:r>
        <w:rPr>
          <w:sz w:val="20"/>
        </w:rPr>
        <w:t xml:space="preserve">are </w:t>
      </w:r>
      <w:r>
        <w:rPr>
          <w:rFonts w:hint="eastAsia"/>
          <w:sz w:val="20"/>
        </w:rPr>
        <w:t>important factor</w:t>
      </w:r>
      <w:r>
        <w:rPr>
          <w:sz w:val="20"/>
        </w:rPr>
        <w:t>s</w:t>
      </w:r>
      <w:r>
        <w:rPr>
          <w:rFonts w:hint="eastAsia"/>
          <w:sz w:val="20"/>
        </w:rPr>
        <w:t xml:space="preserve"> </w:t>
      </w:r>
      <w:r>
        <w:rPr>
          <w:sz w:val="20"/>
        </w:rPr>
        <w:t>in</w:t>
      </w:r>
      <w:r>
        <w:rPr>
          <w:rFonts w:hint="eastAsia"/>
          <w:sz w:val="20"/>
        </w:rPr>
        <w:t xml:space="preserve"> determining the </w:t>
      </w:r>
      <w:r>
        <w:rPr>
          <w:sz w:val="20"/>
        </w:rPr>
        <w:t>smallest maximum</w:t>
      </w:r>
      <w:r>
        <w:rPr>
          <w:rFonts w:hint="eastAsia"/>
          <w:sz w:val="20"/>
        </w:rPr>
        <w:t xml:space="preserve"> UE bandwidth. </w:t>
      </w:r>
      <w:r>
        <w:rPr>
          <w:sz w:val="20"/>
        </w:rPr>
        <w:t>Based on analysis in Table 3-1, the decision should be made if attractive</w:t>
      </w:r>
      <w:r>
        <w:rPr>
          <w:rFonts w:hint="eastAsia"/>
          <w:sz w:val="20"/>
        </w:rPr>
        <w:t xml:space="preserve"> complexity/buffer reduction</w:t>
      </w:r>
      <w:r>
        <w:rPr>
          <w:sz w:val="20"/>
        </w:rPr>
        <w:t xml:space="preserve"> gain can be achi</w:t>
      </w:r>
      <w:r>
        <w:rPr>
          <w:sz w:val="20"/>
        </w:rPr>
        <w:t>eved</w:t>
      </w:r>
      <w:r>
        <w:rPr>
          <w:rFonts w:hint="eastAsia"/>
          <w:sz w:val="20"/>
        </w:rPr>
        <w:t>.</w:t>
      </w:r>
    </w:p>
    <w:p w14:paraId="7FBBF1CD" w14:textId="77777777" w:rsidR="00C41F5F" w:rsidRDefault="00832B23">
      <w:pPr>
        <w:numPr>
          <w:ilvl w:val="0"/>
          <w:numId w:val="12"/>
        </w:numPr>
        <w:snapToGrid w:val="0"/>
        <w:spacing w:beforeLines="0" w:before="120" w:after="120" w:line="240" w:lineRule="auto"/>
        <w:rPr>
          <w:sz w:val="20"/>
        </w:rPr>
      </w:pPr>
      <w:r>
        <w:rPr>
          <w:rFonts w:hint="eastAsia"/>
          <w:sz w:val="20"/>
        </w:rPr>
        <w:t>Market scale</w:t>
      </w:r>
      <w:r>
        <w:rPr>
          <w:sz w:val="20"/>
        </w:rPr>
        <w:t>:</w:t>
      </w:r>
      <w:r>
        <w:rPr>
          <w:rFonts w:hint="eastAsia"/>
          <w:sz w:val="20"/>
        </w:rPr>
        <w:t xml:space="preserve"> The lessons from RedCap and NB-IoT </w:t>
      </w:r>
      <w:r>
        <w:rPr>
          <w:sz w:val="20"/>
        </w:rPr>
        <w:t xml:space="preserve">suggest that </w:t>
      </w:r>
      <w:r>
        <w:rPr>
          <w:rFonts w:hint="eastAsia"/>
          <w:sz w:val="20"/>
        </w:rPr>
        <w:t>6G NW should native</w:t>
      </w:r>
      <w:r>
        <w:rPr>
          <w:sz w:val="20"/>
        </w:rPr>
        <w:t>ly support</w:t>
      </w:r>
      <w:r>
        <w:rPr>
          <w:rFonts w:hint="eastAsia"/>
          <w:sz w:val="20"/>
        </w:rPr>
        <w:t xml:space="preserve"> diverse device type.</w:t>
      </w:r>
      <w:r>
        <w:rPr>
          <w:sz w:val="20"/>
        </w:rPr>
        <w:t xml:space="preserve"> However, if the decision on the smallest maximum BW only is made only based on the lower/lowest device type, it will further impacts RF/B</w:t>
      </w:r>
      <w:r>
        <w:rPr>
          <w:sz w:val="20"/>
        </w:rPr>
        <w:t xml:space="preserve">B sharing cross different device with even larger market scale. </w:t>
      </w:r>
    </w:p>
    <w:p w14:paraId="68383B2F" w14:textId="77777777" w:rsidR="00C41F5F" w:rsidRDefault="00832B23">
      <w:pPr>
        <w:numPr>
          <w:ilvl w:val="0"/>
          <w:numId w:val="12"/>
        </w:numPr>
        <w:snapToGrid w:val="0"/>
        <w:spacing w:beforeLines="0" w:before="120" w:after="120" w:line="240" w:lineRule="auto"/>
        <w:rPr>
          <w:sz w:val="20"/>
        </w:rPr>
      </w:pPr>
      <w:r>
        <w:rPr>
          <w:sz w:val="20"/>
        </w:rPr>
        <w:lastRenderedPageBreak/>
        <w:t>Energy efficiency for both BS and UE</w:t>
      </w:r>
      <w:r>
        <w:rPr>
          <w:rFonts w:hint="eastAsia"/>
          <w:sz w:val="20"/>
        </w:rPr>
        <w:t xml:space="preserve">: </w:t>
      </w:r>
      <w:r>
        <w:rPr>
          <w:sz w:val="20"/>
        </w:rPr>
        <w:t>B</w:t>
      </w:r>
      <w:r>
        <w:rPr>
          <w:rFonts w:hint="eastAsia"/>
          <w:sz w:val="20"/>
        </w:rPr>
        <w:t xml:space="preserve">andwidth reduction would have impacts on the energy consumption </w:t>
      </w:r>
      <w:r>
        <w:rPr>
          <w:sz w:val="20"/>
        </w:rPr>
        <w:t>f</w:t>
      </w:r>
      <w:r>
        <w:rPr>
          <w:rFonts w:hint="eastAsia"/>
          <w:sz w:val="20"/>
        </w:rPr>
        <w:t>or</w:t>
      </w:r>
      <w:r>
        <w:rPr>
          <w:sz w:val="20"/>
        </w:rPr>
        <w:t xml:space="preserve"> both</w:t>
      </w:r>
      <w:r>
        <w:rPr>
          <w:rFonts w:hint="eastAsia"/>
          <w:sz w:val="20"/>
        </w:rPr>
        <w:t xml:space="preserve"> UE and BS</w:t>
      </w:r>
      <w:r>
        <w:rPr>
          <w:sz w:val="20"/>
        </w:rPr>
        <w:t>, which should be assessed.</w:t>
      </w:r>
    </w:p>
    <w:p w14:paraId="504361B3" w14:textId="77777777" w:rsidR="00C41F5F" w:rsidRDefault="00832B23">
      <w:pPr>
        <w:numPr>
          <w:ilvl w:val="0"/>
          <w:numId w:val="12"/>
        </w:numPr>
        <w:snapToGrid w:val="0"/>
        <w:spacing w:beforeLines="0" w:before="120" w:after="120" w:line="240" w:lineRule="auto"/>
        <w:rPr>
          <w:sz w:val="20"/>
        </w:rPr>
      </w:pPr>
      <w:r>
        <w:rPr>
          <w:rFonts w:hint="eastAsia"/>
          <w:sz w:val="20"/>
        </w:rPr>
        <w:t>S</w:t>
      </w:r>
      <w:r>
        <w:rPr>
          <w:sz w:val="20"/>
        </w:rPr>
        <w:t>ystem performance impact:</w:t>
      </w:r>
      <w:r>
        <w:rPr>
          <w:rFonts w:hint="eastAsia"/>
          <w:sz w:val="20"/>
        </w:rPr>
        <w:t xml:space="preserve"> </w:t>
      </w:r>
      <w:r>
        <w:rPr>
          <w:sz w:val="20"/>
        </w:rPr>
        <w:t>Limiting the su</w:t>
      </w:r>
      <w:r>
        <w:rPr>
          <w:sz w:val="20"/>
        </w:rPr>
        <w:t>pported UE bandwidth will influence common signal or channel designs. Additionally, it will also lead to complicated scheduling, e.g., to address the jointly scheduling for various device types. Then, the trade-off between bandwidth and system performance</w:t>
      </w:r>
      <w:r>
        <w:rPr>
          <w:rFonts w:hint="eastAsia"/>
          <w:sz w:val="20"/>
        </w:rPr>
        <w:t xml:space="preserve"> </w:t>
      </w:r>
      <w:r>
        <w:rPr>
          <w:sz w:val="20"/>
        </w:rPr>
        <w:t>needs to be considered.</w:t>
      </w:r>
    </w:p>
    <w:p w14:paraId="4407F1E2" w14:textId="77777777" w:rsidR="00C41F5F" w:rsidRDefault="00832B23">
      <w:pPr>
        <w:numPr>
          <w:ilvl w:val="0"/>
          <w:numId w:val="12"/>
        </w:numPr>
        <w:snapToGrid w:val="0"/>
        <w:spacing w:beforeLines="0" w:before="120" w:after="120" w:line="240" w:lineRule="auto"/>
        <w:rPr>
          <w:sz w:val="20"/>
        </w:rPr>
      </w:pPr>
      <w:r>
        <w:rPr>
          <w:rFonts w:hint="eastAsia"/>
          <w:sz w:val="20"/>
        </w:rPr>
        <w:t>Minimum spectrum allocation</w:t>
      </w:r>
      <w:r>
        <w:rPr>
          <w:sz w:val="20"/>
        </w:rPr>
        <w:t>:</w:t>
      </w:r>
      <w:r>
        <w:rPr>
          <w:rFonts w:hint="eastAsia"/>
          <w:sz w:val="20"/>
        </w:rPr>
        <w:t xml:space="preserve"> </w:t>
      </w:r>
      <w:r>
        <w:rPr>
          <w:sz w:val="20"/>
        </w:rPr>
        <w:t>As it is discussed in section 2.3, t</w:t>
      </w:r>
      <w:r>
        <w:rPr>
          <w:rFonts w:hint="eastAsia"/>
          <w:sz w:val="20"/>
        </w:rPr>
        <w:t>he</w:t>
      </w:r>
      <w:r>
        <w:rPr>
          <w:sz w:val="20"/>
        </w:rPr>
        <w:t>re are several solutions to address the impact of</w:t>
      </w:r>
      <w:r>
        <w:rPr>
          <w:rFonts w:hint="eastAsia"/>
          <w:sz w:val="20"/>
        </w:rPr>
        <w:t xml:space="preserve"> minimum spectrum allocation. At least, considering puncturing still workable in 5G NR, minimum spectrum allocation</w:t>
      </w:r>
      <w:r>
        <w:rPr>
          <w:sz w:val="20"/>
        </w:rPr>
        <w:t xml:space="preserve"> </w:t>
      </w:r>
      <w:r>
        <w:rPr>
          <w:sz w:val="20"/>
        </w:rPr>
        <w:t>can be considered as second priority</w:t>
      </w:r>
      <w:r>
        <w:rPr>
          <w:rFonts w:hint="eastAsia"/>
          <w:sz w:val="20"/>
        </w:rPr>
        <w:t xml:space="preserve">. </w:t>
      </w:r>
    </w:p>
    <w:p w14:paraId="7FD74D7B" w14:textId="77777777" w:rsidR="00C41F5F" w:rsidRDefault="00832B23">
      <w:pPr>
        <w:snapToGrid w:val="0"/>
        <w:spacing w:before="120" w:after="120"/>
        <w:rPr>
          <w:bCs/>
          <w:i/>
          <w:sz w:val="20"/>
        </w:rPr>
      </w:pPr>
      <w:r>
        <w:rPr>
          <w:b/>
          <w:bCs/>
          <w:i/>
          <w:sz w:val="20"/>
        </w:rPr>
        <w:t xml:space="preserve">Proposal 3-1: </w:t>
      </w:r>
      <w:r>
        <w:rPr>
          <w:bCs/>
          <w:i/>
          <w:sz w:val="20"/>
        </w:rPr>
        <w:t xml:space="preserve">For 6GR </w:t>
      </w:r>
      <w:r>
        <w:rPr>
          <w:rFonts w:hint="eastAsia"/>
          <w:bCs/>
          <w:i/>
          <w:sz w:val="20"/>
        </w:rPr>
        <w:t>scalable design for smallest maximum UE bandwidth, consider</w:t>
      </w:r>
      <w:r>
        <w:rPr>
          <w:bCs/>
          <w:i/>
          <w:sz w:val="20"/>
        </w:rPr>
        <w:t xml:space="preserve"> the following aspects </w:t>
      </w:r>
    </w:p>
    <w:p w14:paraId="01C4547C" w14:textId="13EE1E71" w:rsidR="00C41F5F" w:rsidRDefault="00832B23">
      <w:pPr>
        <w:pStyle w:val="af9"/>
        <w:numPr>
          <w:ilvl w:val="0"/>
          <w:numId w:val="9"/>
        </w:numPr>
        <w:snapToGrid w:val="0"/>
        <w:spacing w:before="50" w:after="120"/>
        <w:contextualSpacing w:val="0"/>
        <w:rPr>
          <w:i/>
          <w:sz w:val="20"/>
        </w:rPr>
      </w:pPr>
      <w:r>
        <w:rPr>
          <w:i/>
          <w:sz w:val="20"/>
        </w:rPr>
        <w:t>Device complexity</w:t>
      </w:r>
      <w:r>
        <w:rPr>
          <w:i/>
          <w:sz w:val="20"/>
        </w:rPr>
        <w:t xml:space="preserve"> </w:t>
      </w:r>
    </w:p>
    <w:p w14:paraId="63E9C2A1" w14:textId="31129125" w:rsidR="00C41F5F" w:rsidRDefault="00832B23">
      <w:pPr>
        <w:pStyle w:val="af9"/>
        <w:numPr>
          <w:ilvl w:val="0"/>
          <w:numId w:val="9"/>
        </w:numPr>
        <w:snapToGrid w:val="0"/>
        <w:spacing w:before="50" w:after="120"/>
        <w:contextualSpacing w:val="0"/>
        <w:rPr>
          <w:i/>
          <w:sz w:val="20"/>
        </w:rPr>
      </w:pPr>
      <w:r>
        <w:rPr>
          <w:i/>
          <w:sz w:val="20"/>
        </w:rPr>
        <w:t>Market scale</w:t>
      </w:r>
      <w:r>
        <w:rPr>
          <w:i/>
          <w:sz w:val="20"/>
        </w:rPr>
        <w:t xml:space="preserve"> </w:t>
      </w:r>
    </w:p>
    <w:p w14:paraId="19DC936D" w14:textId="305705D8" w:rsidR="00C41F5F" w:rsidRDefault="00832B23">
      <w:pPr>
        <w:pStyle w:val="af9"/>
        <w:numPr>
          <w:ilvl w:val="0"/>
          <w:numId w:val="9"/>
        </w:numPr>
        <w:snapToGrid w:val="0"/>
        <w:spacing w:before="50" w:after="120"/>
        <w:contextualSpacing w:val="0"/>
        <w:rPr>
          <w:i/>
          <w:sz w:val="20"/>
        </w:rPr>
      </w:pPr>
      <w:r>
        <w:rPr>
          <w:i/>
          <w:sz w:val="20"/>
        </w:rPr>
        <w:t>Energy efficiency for both BS and UE</w:t>
      </w:r>
      <w:r>
        <w:rPr>
          <w:i/>
          <w:sz w:val="20"/>
        </w:rPr>
        <w:t xml:space="preserve"> </w:t>
      </w:r>
    </w:p>
    <w:p w14:paraId="3E108D85" w14:textId="1587FB4D" w:rsidR="00C41F5F" w:rsidRDefault="00832B23">
      <w:pPr>
        <w:pStyle w:val="af9"/>
        <w:numPr>
          <w:ilvl w:val="0"/>
          <w:numId w:val="9"/>
        </w:numPr>
        <w:snapToGrid w:val="0"/>
        <w:spacing w:before="50" w:after="120"/>
        <w:contextualSpacing w:val="0"/>
        <w:rPr>
          <w:i/>
          <w:sz w:val="20"/>
        </w:rPr>
      </w:pPr>
      <w:r>
        <w:rPr>
          <w:i/>
          <w:sz w:val="20"/>
        </w:rPr>
        <w:t>System performance impact</w:t>
      </w:r>
    </w:p>
    <w:p w14:paraId="1C1207C0" w14:textId="1C04D55A" w:rsidR="00C41F5F" w:rsidRDefault="00832B23">
      <w:pPr>
        <w:snapToGrid w:val="0"/>
        <w:spacing w:before="120" w:after="120"/>
      </w:pPr>
      <w:r>
        <w:rPr>
          <w:rFonts w:hint="eastAsia"/>
        </w:rPr>
        <w:t xml:space="preserve">The </w:t>
      </w:r>
      <w:r>
        <w:rPr>
          <w:rFonts w:hint="eastAsia"/>
        </w:rPr>
        <w:t>detailed</w:t>
      </w:r>
      <w:r>
        <w:t xml:space="preserve"> analysis of</w:t>
      </w:r>
      <w:r>
        <w:rPr>
          <w:rFonts w:hint="eastAsia"/>
        </w:rPr>
        <w:t xml:space="preserve"> </w:t>
      </w:r>
      <w:r>
        <w:t>the</w:t>
      </w:r>
      <w:r>
        <w:rPr>
          <w:rFonts w:hint="eastAsia"/>
        </w:rPr>
        <w:t xml:space="preserve"> above</w:t>
      </w:r>
      <w:r>
        <w:t xml:space="preserve"> aspects for different bandwidth options a</w:t>
      </w:r>
      <w:r>
        <w:t>re</w:t>
      </w:r>
      <w:r>
        <w:rPr>
          <w:rFonts w:hint="eastAsia"/>
        </w:rPr>
        <w:t xml:space="preserve"> listed in </w:t>
      </w:r>
      <w:r>
        <w:t>T</w:t>
      </w:r>
      <w:r>
        <w:rPr>
          <w:rFonts w:hint="eastAsia"/>
        </w:rPr>
        <w:t>able</w:t>
      </w:r>
      <w:r>
        <w:t xml:space="preserve"> 3-1.</w:t>
      </w:r>
    </w:p>
    <w:p w14:paraId="7AC021D2" w14:textId="77777777" w:rsidR="00C41F5F" w:rsidRDefault="00832B23">
      <w:pPr>
        <w:snapToGrid w:val="0"/>
        <w:spacing w:before="120" w:after="120"/>
        <w:jc w:val="center"/>
        <w:rPr>
          <w:sz w:val="20"/>
        </w:rPr>
      </w:pPr>
      <w:r>
        <w:rPr>
          <w:rFonts w:hint="eastAsia"/>
          <w:sz w:val="20"/>
        </w:rPr>
        <w:t>T</w:t>
      </w:r>
      <w:r>
        <w:rPr>
          <w:sz w:val="20"/>
        </w:rPr>
        <w:t>able 3-1 Comparison among different smallest maximum bandwidth</w:t>
      </w:r>
    </w:p>
    <w:tbl>
      <w:tblPr>
        <w:tblStyle w:val="af3"/>
        <w:tblW w:w="0" w:type="auto"/>
        <w:tblInd w:w="271" w:type="dxa"/>
        <w:tblLook w:val="04A0" w:firstRow="1" w:lastRow="0" w:firstColumn="1" w:lastColumn="0" w:noHBand="0" w:noVBand="1"/>
      </w:tblPr>
      <w:tblGrid>
        <w:gridCol w:w="1539"/>
        <w:gridCol w:w="1911"/>
        <w:gridCol w:w="1911"/>
        <w:gridCol w:w="1911"/>
        <w:gridCol w:w="1911"/>
      </w:tblGrid>
      <w:tr w:rsidR="00C41F5F" w14:paraId="05C9E64B" w14:textId="77777777">
        <w:tc>
          <w:tcPr>
            <w:tcW w:w="1539" w:type="dxa"/>
            <w:vAlign w:val="center"/>
          </w:tcPr>
          <w:p w14:paraId="37DE63A9" w14:textId="77777777" w:rsidR="00C41F5F" w:rsidRDefault="00C41F5F">
            <w:pPr>
              <w:adjustRightInd w:val="0"/>
              <w:snapToGrid w:val="0"/>
              <w:spacing w:before="120" w:after="120" w:line="240" w:lineRule="auto"/>
              <w:rPr>
                <w:color w:val="000000"/>
                <w:sz w:val="20"/>
              </w:rPr>
            </w:pPr>
          </w:p>
        </w:tc>
        <w:tc>
          <w:tcPr>
            <w:tcW w:w="1911" w:type="dxa"/>
            <w:vAlign w:val="center"/>
          </w:tcPr>
          <w:p w14:paraId="69A2134C" w14:textId="77777777" w:rsidR="00C41F5F" w:rsidRDefault="00832B23">
            <w:pPr>
              <w:adjustRightInd w:val="0"/>
              <w:snapToGrid w:val="0"/>
              <w:spacing w:before="120" w:after="120" w:line="240" w:lineRule="auto"/>
              <w:rPr>
                <w:color w:val="000000"/>
                <w:sz w:val="20"/>
              </w:rPr>
            </w:pPr>
            <w:r>
              <w:rPr>
                <w:rFonts w:hint="eastAsia"/>
                <w:color w:val="000000"/>
                <w:sz w:val="20"/>
              </w:rPr>
              <w:t>Option 1: 3MHz</w:t>
            </w:r>
          </w:p>
        </w:tc>
        <w:tc>
          <w:tcPr>
            <w:tcW w:w="1911" w:type="dxa"/>
            <w:vAlign w:val="center"/>
          </w:tcPr>
          <w:p w14:paraId="09CB40B3" w14:textId="77777777" w:rsidR="00C41F5F" w:rsidRDefault="00832B23">
            <w:pPr>
              <w:adjustRightInd w:val="0"/>
              <w:snapToGrid w:val="0"/>
              <w:spacing w:before="120" w:after="120" w:line="240" w:lineRule="auto"/>
              <w:rPr>
                <w:color w:val="000000"/>
                <w:sz w:val="20"/>
              </w:rPr>
            </w:pPr>
            <w:r>
              <w:rPr>
                <w:color w:val="000000"/>
                <w:sz w:val="20"/>
              </w:rPr>
              <w:t xml:space="preserve">Option </w:t>
            </w:r>
            <w:r>
              <w:rPr>
                <w:rFonts w:hint="eastAsia"/>
                <w:color w:val="000000"/>
                <w:sz w:val="20"/>
              </w:rPr>
              <w:t>2</w:t>
            </w:r>
            <w:r>
              <w:rPr>
                <w:color w:val="000000"/>
                <w:sz w:val="20"/>
              </w:rPr>
              <w:t>: 5MHz</w:t>
            </w:r>
          </w:p>
        </w:tc>
        <w:tc>
          <w:tcPr>
            <w:tcW w:w="1911" w:type="dxa"/>
            <w:vAlign w:val="center"/>
          </w:tcPr>
          <w:p w14:paraId="557DD0B1" w14:textId="77777777" w:rsidR="00C41F5F" w:rsidRDefault="00832B23">
            <w:pPr>
              <w:adjustRightInd w:val="0"/>
              <w:snapToGrid w:val="0"/>
              <w:spacing w:before="120" w:after="120" w:line="240" w:lineRule="auto"/>
              <w:rPr>
                <w:color w:val="000000"/>
                <w:sz w:val="20"/>
              </w:rPr>
            </w:pPr>
            <w:r>
              <w:rPr>
                <w:color w:val="000000"/>
                <w:sz w:val="20"/>
              </w:rPr>
              <w:t xml:space="preserve">Option </w:t>
            </w:r>
            <w:r>
              <w:rPr>
                <w:rFonts w:hint="eastAsia"/>
                <w:color w:val="000000"/>
                <w:sz w:val="20"/>
              </w:rPr>
              <w:t>3</w:t>
            </w:r>
            <w:r>
              <w:rPr>
                <w:color w:val="000000"/>
                <w:sz w:val="20"/>
              </w:rPr>
              <w:t xml:space="preserve">: </w:t>
            </w:r>
            <w:r>
              <w:rPr>
                <w:rFonts w:hint="eastAsia"/>
                <w:color w:val="000000"/>
                <w:sz w:val="20"/>
              </w:rPr>
              <w:t>1</w:t>
            </w:r>
            <w:r>
              <w:rPr>
                <w:color w:val="000000"/>
                <w:sz w:val="20"/>
              </w:rPr>
              <w:t>0MHz</w:t>
            </w:r>
          </w:p>
        </w:tc>
        <w:tc>
          <w:tcPr>
            <w:tcW w:w="1911" w:type="dxa"/>
            <w:vAlign w:val="center"/>
          </w:tcPr>
          <w:p w14:paraId="56BC02F2" w14:textId="77777777" w:rsidR="00C41F5F" w:rsidRDefault="00832B23">
            <w:pPr>
              <w:adjustRightInd w:val="0"/>
              <w:snapToGrid w:val="0"/>
              <w:spacing w:before="120" w:after="120" w:line="240" w:lineRule="auto"/>
              <w:rPr>
                <w:color w:val="000000"/>
                <w:sz w:val="20"/>
              </w:rPr>
            </w:pPr>
            <w:r>
              <w:rPr>
                <w:rFonts w:hint="eastAsia"/>
                <w:color w:val="000000"/>
                <w:sz w:val="20"/>
              </w:rPr>
              <w:t>Option 4:20MHz</w:t>
            </w:r>
          </w:p>
        </w:tc>
      </w:tr>
      <w:tr w:rsidR="00C41F5F" w14:paraId="25B5F31F" w14:textId="77777777">
        <w:tc>
          <w:tcPr>
            <w:tcW w:w="1539" w:type="dxa"/>
            <w:vAlign w:val="center"/>
          </w:tcPr>
          <w:p w14:paraId="2D947FB3" w14:textId="77777777" w:rsidR="00C41F5F" w:rsidRDefault="00832B23">
            <w:pPr>
              <w:adjustRightInd w:val="0"/>
              <w:snapToGrid w:val="0"/>
              <w:spacing w:before="120" w:after="120" w:line="240" w:lineRule="auto"/>
              <w:rPr>
                <w:color w:val="000000"/>
                <w:sz w:val="20"/>
              </w:rPr>
            </w:pPr>
            <w:r>
              <w:rPr>
                <w:rFonts w:hint="eastAsia"/>
                <w:color w:val="000000"/>
                <w:sz w:val="20"/>
              </w:rPr>
              <w:t>System performance</w:t>
            </w:r>
          </w:p>
        </w:tc>
        <w:tc>
          <w:tcPr>
            <w:tcW w:w="1911" w:type="dxa"/>
            <w:vAlign w:val="center"/>
          </w:tcPr>
          <w:p w14:paraId="34F3AF33" w14:textId="77777777" w:rsidR="00C41F5F" w:rsidRDefault="00832B23">
            <w:pPr>
              <w:adjustRightInd w:val="0"/>
              <w:snapToGrid w:val="0"/>
              <w:spacing w:before="120" w:after="120" w:line="240" w:lineRule="auto"/>
              <w:rPr>
                <w:color w:val="000000"/>
                <w:sz w:val="20"/>
              </w:rPr>
            </w:pPr>
            <w:r>
              <w:rPr>
                <w:rFonts w:hint="eastAsia"/>
                <w:color w:val="000000"/>
                <w:sz w:val="20"/>
              </w:rPr>
              <w:t xml:space="preserve">SSB: </w:t>
            </w:r>
            <w:r>
              <w:rPr>
                <w:rFonts w:hint="eastAsia"/>
                <w:color w:val="000000"/>
                <w:sz w:val="20"/>
              </w:rPr>
              <w:t>redesign SSB with more symbols</w:t>
            </w:r>
          </w:p>
          <w:p w14:paraId="039501B6" w14:textId="77777777" w:rsidR="00C41F5F" w:rsidRDefault="00832B23">
            <w:pPr>
              <w:adjustRightInd w:val="0"/>
              <w:snapToGrid w:val="0"/>
              <w:spacing w:before="120" w:after="120" w:line="240" w:lineRule="auto"/>
              <w:rPr>
                <w:color w:val="000000"/>
                <w:sz w:val="20"/>
              </w:rPr>
            </w:pPr>
            <w:r>
              <w:rPr>
                <w:rFonts w:hint="eastAsia"/>
                <w:color w:val="000000"/>
                <w:sz w:val="20"/>
              </w:rPr>
              <w:t>SIB1 PDCCH needs to be redesigned within 3MHz</w:t>
            </w:r>
          </w:p>
          <w:p w14:paraId="066F4FDA" w14:textId="77777777" w:rsidR="00C41F5F" w:rsidRDefault="00832B23">
            <w:pPr>
              <w:adjustRightInd w:val="0"/>
              <w:snapToGrid w:val="0"/>
              <w:spacing w:before="120" w:after="120" w:line="240" w:lineRule="auto"/>
              <w:rPr>
                <w:color w:val="000000"/>
                <w:sz w:val="20"/>
              </w:rPr>
            </w:pPr>
            <w:r>
              <w:rPr>
                <w:color w:val="000000"/>
                <w:sz w:val="20"/>
              </w:rPr>
              <w:t xml:space="preserve">SIB1 PDSCH: adapted to </w:t>
            </w:r>
            <w:r>
              <w:rPr>
                <w:rFonts w:hint="eastAsia"/>
                <w:color w:val="000000"/>
                <w:sz w:val="20"/>
              </w:rPr>
              <w:t>3</w:t>
            </w:r>
            <w:r>
              <w:rPr>
                <w:color w:val="000000"/>
                <w:sz w:val="20"/>
              </w:rPr>
              <w:t>MHz</w:t>
            </w:r>
          </w:p>
        </w:tc>
        <w:tc>
          <w:tcPr>
            <w:tcW w:w="1911" w:type="dxa"/>
            <w:vAlign w:val="center"/>
          </w:tcPr>
          <w:p w14:paraId="77572287" w14:textId="77777777" w:rsidR="00C41F5F" w:rsidRDefault="00832B23">
            <w:pPr>
              <w:adjustRightInd w:val="0"/>
              <w:snapToGrid w:val="0"/>
              <w:spacing w:before="120" w:after="120" w:line="240" w:lineRule="auto"/>
              <w:rPr>
                <w:color w:val="000000"/>
                <w:sz w:val="20"/>
              </w:rPr>
            </w:pPr>
            <w:r>
              <w:rPr>
                <w:color w:val="000000"/>
                <w:sz w:val="20"/>
              </w:rPr>
              <w:t>Common SSB design based on 5MHz grid</w:t>
            </w:r>
          </w:p>
          <w:p w14:paraId="64D4880E" w14:textId="77777777" w:rsidR="00C41F5F" w:rsidRDefault="00832B23">
            <w:pPr>
              <w:adjustRightInd w:val="0"/>
              <w:snapToGrid w:val="0"/>
              <w:spacing w:before="120" w:after="120" w:line="240" w:lineRule="auto"/>
              <w:rPr>
                <w:color w:val="000000"/>
                <w:sz w:val="20"/>
              </w:rPr>
            </w:pPr>
            <w:r>
              <w:rPr>
                <w:color w:val="000000"/>
                <w:sz w:val="20"/>
              </w:rPr>
              <w:t xml:space="preserve">SIB1 PDCCH: </w:t>
            </w:r>
            <w:r>
              <w:rPr>
                <w:rFonts w:hint="eastAsia"/>
                <w:color w:val="000000"/>
                <w:sz w:val="20"/>
              </w:rPr>
              <w:t>24RB CORESET ca</w:t>
            </w:r>
            <w:r>
              <w:rPr>
                <w:color w:val="000000"/>
                <w:sz w:val="20"/>
              </w:rPr>
              <w:t xml:space="preserve">n be </w:t>
            </w:r>
            <w:r>
              <w:rPr>
                <w:rFonts w:hint="eastAsia"/>
                <w:color w:val="000000"/>
                <w:sz w:val="20"/>
              </w:rPr>
              <w:t xml:space="preserve">applied within </w:t>
            </w:r>
            <w:r>
              <w:rPr>
                <w:color w:val="000000"/>
                <w:sz w:val="20"/>
              </w:rPr>
              <w:t>5MHz</w:t>
            </w:r>
          </w:p>
          <w:p w14:paraId="48747A65" w14:textId="77777777" w:rsidR="00C41F5F" w:rsidRDefault="00832B23">
            <w:pPr>
              <w:adjustRightInd w:val="0"/>
              <w:snapToGrid w:val="0"/>
              <w:spacing w:before="120" w:after="120" w:line="240" w:lineRule="auto"/>
              <w:rPr>
                <w:color w:val="000000"/>
                <w:sz w:val="20"/>
              </w:rPr>
            </w:pPr>
            <w:r>
              <w:rPr>
                <w:color w:val="000000"/>
                <w:sz w:val="20"/>
              </w:rPr>
              <w:t>SIB1 PDSCH: adapted to 5MHz</w:t>
            </w:r>
          </w:p>
        </w:tc>
        <w:tc>
          <w:tcPr>
            <w:tcW w:w="1911" w:type="dxa"/>
            <w:vAlign w:val="center"/>
          </w:tcPr>
          <w:p w14:paraId="37885174" w14:textId="77777777" w:rsidR="00C41F5F" w:rsidRDefault="00832B23">
            <w:pPr>
              <w:adjustRightInd w:val="0"/>
              <w:snapToGrid w:val="0"/>
              <w:spacing w:before="120" w:after="120" w:line="240" w:lineRule="auto"/>
              <w:rPr>
                <w:color w:val="000000"/>
                <w:sz w:val="20"/>
              </w:rPr>
            </w:pPr>
            <w:r>
              <w:rPr>
                <w:color w:val="000000"/>
                <w:sz w:val="20"/>
              </w:rPr>
              <w:t xml:space="preserve">Common SSB design based on 5MHz </w:t>
            </w:r>
            <w:r>
              <w:rPr>
                <w:color w:val="000000"/>
                <w:sz w:val="20"/>
              </w:rPr>
              <w:t>grid</w:t>
            </w:r>
          </w:p>
          <w:p w14:paraId="03A9A40A" w14:textId="77777777" w:rsidR="00C41F5F" w:rsidRDefault="00832B23">
            <w:pPr>
              <w:adjustRightInd w:val="0"/>
              <w:snapToGrid w:val="0"/>
              <w:spacing w:before="120" w:after="120" w:line="240" w:lineRule="auto"/>
              <w:rPr>
                <w:color w:val="000000"/>
                <w:sz w:val="20"/>
              </w:rPr>
            </w:pPr>
            <w:r>
              <w:rPr>
                <w:color w:val="000000"/>
                <w:sz w:val="20"/>
              </w:rPr>
              <w:t xml:space="preserve">SIB1 PDCCH: </w:t>
            </w:r>
            <w:r>
              <w:rPr>
                <w:rFonts w:hint="eastAsia"/>
                <w:color w:val="000000"/>
                <w:sz w:val="20"/>
              </w:rPr>
              <w:t>24 or 48RB CORESET c</w:t>
            </w:r>
            <w:r>
              <w:rPr>
                <w:color w:val="000000"/>
                <w:sz w:val="20"/>
              </w:rPr>
              <w:t xml:space="preserve">an be </w:t>
            </w:r>
            <w:r>
              <w:rPr>
                <w:rFonts w:hint="eastAsia"/>
                <w:color w:val="000000"/>
                <w:sz w:val="20"/>
              </w:rPr>
              <w:t xml:space="preserve">applied </w:t>
            </w:r>
            <w:r>
              <w:rPr>
                <w:color w:val="000000"/>
                <w:sz w:val="20"/>
              </w:rPr>
              <w:t>within 10MHz</w:t>
            </w:r>
          </w:p>
          <w:p w14:paraId="1E06BF65" w14:textId="77777777" w:rsidR="00C41F5F" w:rsidRDefault="00832B23">
            <w:pPr>
              <w:adjustRightInd w:val="0"/>
              <w:snapToGrid w:val="0"/>
              <w:spacing w:before="120" w:after="120" w:line="240" w:lineRule="auto"/>
              <w:rPr>
                <w:color w:val="000000"/>
                <w:sz w:val="20"/>
              </w:rPr>
            </w:pPr>
            <w:r>
              <w:rPr>
                <w:color w:val="000000"/>
                <w:sz w:val="20"/>
              </w:rPr>
              <w:t>SIB1 PDSCH: adapted to 10MHz</w:t>
            </w:r>
          </w:p>
        </w:tc>
        <w:tc>
          <w:tcPr>
            <w:tcW w:w="1911" w:type="dxa"/>
            <w:vAlign w:val="center"/>
          </w:tcPr>
          <w:p w14:paraId="03E93C2B" w14:textId="77777777" w:rsidR="00C41F5F" w:rsidRDefault="00832B23">
            <w:pPr>
              <w:adjustRightInd w:val="0"/>
              <w:snapToGrid w:val="0"/>
              <w:spacing w:before="120" w:after="120" w:line="240" w:lineRule="auto"/>
              <w:rPr>
                <w:color w:val="000000"/>
                <w:sz w:val="20"/>
              </w:rPr>
            </w:pPr>
            <w:r>
              <w:rPr>
                <w:rFonts w:hint="eastAsia"/>
                <w:color w:val="000000"/>
                <w:sz w:val="20"/>
              </w:rPr>
              <w:t>Common signal</w:t>
            </w:r>
            <w:r>
              <w:rPr>
                <w:color w:val="000000"/>
                <w:sz w:val="20"/>
              </w:rPr>
              <w:t xml:space="preserve"> design </w:t>
            </w:r>
            <w:r>
              <w:rPr>
                <w:rFonts w:hint="eastAsia"/>
                <w:color w:val="000000"/>
                <w:sz w:val="20"/>
              </w:rPr>
              <w:t>c</w:t>
            </w:r>
            <w:r>
              <w:rPr>
                <w:color w:val="000000"/>
                <w:sz w:val="20"/>
              </w:rPr>
              <w:t xml:space="preserve">an be </w:t>
            </w:r>
            <w:r>
              <w:rPr>
                <w:rFonts w:hint="eastAsia"/>
                <w:color w:val="000000"/>
                <w:sz w:val="20"/>
              </w:rPr>
              <w:t xml:space="preserve">applied </w:t>
            </w:r>
            <w:r>
              <w:rPr>
                <w:color w:val="000000"/>
                <w:sz w:val="20"/>
              </w:rPr>
              <w:t>within 20MHz</w:t>
            </w:r>
            <w:r>
              <w:rPr>
                <w:rFonts w:hint="eastAsia"/>
                <w:color w:val="000000"/>
                <w:sz w:val="20"/>
              </w:rPr>
              <w:t xml:space="preserve"> </w:t>
            </w:r>
          </w:p>
        </w:tc>
      </w:tr>
      <w:tr w:rsidR="00C41F5F" w14:paraId="19FA5A19" w14:textId="77777777">
        <w:trPr>
          <w:trHeight w:val="1270"/>
        </w:trPr>
        <w:tc>
          <w:tcPr>
            <w:tcW w:w="1539" w:type="dxa"/>
            <w:vAlign w:val="center"/>
          </w:tcPr>
          <w:p w14:paraId="503CBA43" w14:textId="77777777" w:rsidR="00C41F5F" w:rsidRDefault="00832B23">
            <w:pPr>
              <w:adjustRightInd w:val="0"/>
              <w:snapToGrid w:val="0"/>
              <w:spacing w:before="120" w:after="120" w:line="240" w:lineRule="auto"/>
              <w:rPr>
                <w:color w:val="000000"/>
                <w:sz w:val="20"/>
              </w:rPr>
            </w:pPr>
            <w:r>
              <w:rPr>
                <w:rFonts w:hint="eastAsia"/>
                <w:color w:val="000000"/>
                <w:sz w:val="20"/>
              </w:rPr>
              <w:t>Market scale including applicable u</w:t>
            </w:r>
            <w:r>
              <w:rPr>
                <w:color w:val="000000"/>
                <w:sz w:val="20"/>
              </w:rPr>
              <w:t>se case</w:t>
            </w:r>
          </w:p>
        </w:tc>
        <w:tc>
          <w:tcPr>
            <w:tcW w:w="1911" w:type="dxa"/>
            <w:vAlign w:val="center"/>
          </w:tcPr>
          <w:p w14:paraId="44C2798D" w14:textId="77777777" w:rsidR="00C41F5F" w:rsidRDefault="00832B23">
            <w:pPr>
              <w:pStyle w:val="af9"/>
              <w:adjustRightInd w:val="0"/>
              <w:snapToGrid w:val="0"/>
              <w:spacing w:before="50" w:after="120" w:line="240" w:lineRule="auto"/>
              <w:ind w:left="0"/>
              <w:contextualSpacing w:val="0"/>
              <w:rPr>
                <w:rFonts w:eastAsia="宋体"/>
                <w:color w:val="000000"/>
                <w:sz w:val="20"/>
                <w:szCs w:val="20"/>
              </w:rPr>
            </w:pPr>
            <w:r>
              <w:rPr>
                <w:rFonts w:eastAsia="宋体"/>
                <w:color w:val="000000"/>
                <w:sz w:val="20"/>
                <w:szCs w:val="20"/>
              </w:rPr>
              <w:t>L</w:t>
            </w:r>
            <w:r>
              <w:rPr>
                <w:rFonts w:eastAsia="宋体" w:hint="eastAsia"/>
                <w:color w:val="000000"/>
                <w:sz w:val="20"/>
                <w:szCs w:val="20"/>
              </w:rPr>
              <w:t>imited market benefits compared to option 2.</w:t>
            </w:r>
          </w:p>
        </w:tc>
        <w:tc>
          <w:tcPr>
            <w:tcW w:w="1911" w:type="dxa"/>
            <w:vAlign w:val="center"/>
          </w:tcPr>
          <w:p w14:paraId="73BDEE8F" w14:textId="77777777" w:rsidR="00C41F5F" w:rsidRDefault="00832B23">
            <w:pPr>
              <w:adjustRightInd w:val="0"/>
              <w:snapToGrid w:val="0"/>
              <w:spacing w:before="120" w:after="120" w:line="240" w:lineRule="auto"/>
              <w:rPr>
                <w:color w:val="000000"/>
                <w:sz w:val="20"/>
              </w:rPr>
            </w:pPr>
            <w:r>
              <w:rPr>
                <w:color w:val="000000"/>
                <w:sz w:val="20"/>
              </w:rPr>
              <w:t>5MHz bandwidth can achi</w:t>
            </w:r>
            <w:r>
              <w:rPr>
                <w:color w:val="000000"/>
                <w:sz w:val="20"/>
              </w:rPr>
              <w:t>eve around 1</w:t>
            </w:r>
            <w:r>
              <w:rPr>
                <w:rFonts w:hint="eastAsia"/>
                <w:color w:val="000000"/>
                <w:sz w:val="20"/>
              </w:rPr>
              <w:t xml:space="preserve">3 </w:t>
            </w:r>
            <w:r>
              <w:rPr>
                <w:color w:val="000000"/>
                <w:sz w:val="20"/>
              </w:rPr>
              <w:t>Mbps data rate, which can cover the following use cases, e.g.,</w:t>
            </w:r>
          </w:p>
          <w:p w14:paraId="5875EA12" w14:textId="77777777" w:rsidR="00C41F5F" w:rsidRDefault="00832B23">
            <w:pPr>
              <w:pStyle w:val="af9"/>
              <w:numPr>
                <w:ilvl w:val="0"/>
                <w:numId w:val="13"/>
              </w:numPr>
              <w:adjustRightInd w:val="0"/>
              <w:snapToGrid w:val="0"/>
              <w:spacing w:before="50" w:after="120" w:line="240" w:lineRule="auto"/>
              <w:contextualSpacing w:val="0"/>
              <w:rPr>
                <w:color w:val="000000"/>
                <w:sz w:val="20"/>
                <w:szCs w:val="20"/>
              </w:rPr>
            </w:pPr>
            <w:r>
              <w:rPr>
                <w:rFonts w:eastAsia="宋体" w:hint="eastAsia"/>
                <w:color w:val="000000"/>
                <w:sz w:val="20"/>
                <w:szCs w:val="20"/>
              </w:rPr>
              <w:t>eMTC with bandwidth no smaller than 5MHz</w:t>
            </w:r>
          </w:p>
          <w:p w14:paraId="3EA193C6" w14:textId="77777777" w:rsidR="00C41F5F" w:rsidRDefault="00832B23">
            <w:pPr>
              <w:pStyle w:val="af9"/>
              <w:numPr>
                <w:ilvl w:val="0"/>
                <w:numId w:val="13"/>
              </w:numPr>
              <w:adjustRightInd w:val="0"/>
              <w:snapToGrid w:val="0"/>
              <w:spacing w:before="50" w:after="120" w:line="240" w:lineRule="auto"/>
              <w:contextualSpacing w:val="0"/>
              <w:rPr>
                <w:color w:val="000000"/>
                <w:sz w:val="20"/>
                <w:szCs w:val="20"/>
              </w:rPr>
            </w:pPr>
            <w:r>
              <w:rPr>
                <w:rFonts w:eastAsia="宋体" w:hint="eastAsia"/>
                <w:color w:val="000000"/>
                <w:sz w:val="20"/>
                <w:szCs w:val="20"/>
              </w:rPr>
              <w:t>eRedCap with 10Mbps peak data rate target</w:t>
            </w:r>
          </w:p>
        </w:tc>
        <w:tc>
          <w:tcPr>
            <w:tcW w:w="1911" w:type="dxa"/>
            <w:vAlign w:val="center"/>
          </w:tcPr>
          <w:p w14:paraId="57AEE799" w14:textId="77777777" w:rsidR="00C41F5F" w:rsidRDefault="00832B23">
            <w:pPr>
              <w:adjustRightInd w:val="0"/>
              <w:snapToGrid w:val="0"/>
              <w:spacing w:before="120" w:after="120" w:line="240" w:lineRule="auto"/>
              <w:rPr>
                <w:color w:val="000000"/>
                <w:sz w:val="20"/>
              </w:rPr>
            </w:pPr>
            <w:r>
              <w:rPr>
                <w:color w:val="000000"/>
                <w:sz w:val="20"/>
              </w:rPr>
              <w:t>10MHz bandwidth can achieve around 2</w:t>
            </w:r>
            <w:r>
              <w:rPr>
                <w:rFonts w:hint="eastAsia"/>
                <w:color w:val="000000"/>
                <w:sz w:val="20"/>
              </w:rPr>
              <w:t>6</w:t>
            </w:r>
            <w:r>
              <w:rPr>
                <w:color w:val="000000"/>
                <w:sz w:val="20"/>
              </w:rPr>
              <w:t xml:space="preserve">Mbps data rate, which exceeds the peak data rate for </w:t>
            </w:r>
            <w:r>
              <w:rPr>
                <w:rFonts w:hint="eastAsia"/>
                <w:color w:val="000000"/>
                <w:sz w:val="20"/>
              </w:rPr>
              <w:t xml:space="preserve">industrial </w:t>
            </w:r>
            <w:r>
              <w:rPr>
                <w:color w:val="000000"/>
                <w:sz w:val="20"/>
              </w:rPr>
              <w:t>sensors or economic video.</w:t>
            </w:r>
          </w:p>
        </w:tc>
        <w:tc>
          <w:tcPr>
            <w:tcW w:w="1911" w:type="dxa"/>
            <w:vAlign w:val="center"/>
          </w:tcPr>
          <w:p w14:paraId="6BF7BC29" w14:textId="77777777" w:rsidR="00C41F5F" w:rsidRDefault="00832B23">
            <w:pPr>
              <w:adjustRightInd w:val="0"/>
              <w:snapToGrid w:val="0"/>
              <w:spacing w:before="120" w:after="120" w:line="240" w:lineRule="auto"/>
              <w:rPr>
                <w:color w:val="000000"/>
                <w:sz w:val="20"/>
              </w:rPr>
            </w:pPr>
            <w:r>
              <w:rPr>
                <w:rFonts w:hint="eastAsia"/>
                <w:color w:val="000000"/>
                <w:sz w:val="20"/>
              </w:rPr>
              <w:t>The peak data rate based on 20MHz with 64QAM are beyond some low</w:t>
            </w:r>
            <w:r>
              <w:rPr>
                <w:color w:val="000000"/>
                <w:sz w:val="20"/>
              </w:rPr>
              <w:t>-</w:t>
            </w:r>
            <w:r>
              <w:rPr>
                <w:rFonts w:hint="eastAsia"/>
                <w:color w:val="000000"/>
                <w:sz w:val="20"/>
              </w:rPr>
              <w:t>end use case, e.g., sensor or low-end wearables, requirement</w:t>
            </w:r>
          </w:p>
        </w:tc>
      </w:tr>
      <w:tr w:rsidR="00C41F5F" w14:paraId="4E15CC10" w14:textId="77777777">
        <w:tc>
          <w:tcPr>
            <w:tcW w:w="1539" w:type="dxa"/>
            <w:vAlign w:val="center"/>
          </w:tcPr>
          <w:p w14:paraId="345F2575" w14:textId="77777777" w:rsidR="00C41F5F" w:rsidRDefault="00832B23">
            <w:pPr>
              <w:adjustRightInd w:val="0"/>
              <w:snapToGrid w:val="0"/>
              <w:spacing w:before="120" w:after="120" w:line="240" w:lineRule="auto"/>
              <w:rPr>
                <w:color w:val="000000"/>
                <w:sz w:val="20"/>
              </w:rPr>
            </w:pPr>
            <w:r>
              <w:rPr>
                <w:color w:val="000000"/>
                <w:sz w:val="20"/>
              </w:rPr>
              <w:t>Cost/complexity</w:t>
            </w:r>
          </w:p>
          <w:p w14:paraId="412CD212" w14:textId="77777777" w:rsidR="00C41F5F" w:rsidRDefault="00832B23">
            <w:pPr>
              <w:adjustRightInd w:val="0"/>
              <w:snapToGrid w:val="0"/>
              <w:spacing w:before="120" w:after="120" w:line="240" w:lineRule="auto"/>
              <w:rPr>
                <w:color w:val="000000"/>
                <w:sz w:val="20"/>
              </w:rPr>
            </w:pPr>
            <w:r>
              <w:rPr>
                <w:rFonts w:hint="eastAsia"/>
                <w:color w:val="000000"/>
                <w:sz w:val="20"/>
              </w:rPr>
              <w:t>Note 1</w:t>
            </w:r>
          </w:p>
        </w:tc>
        <w:tc>
          <w:tcPr>
            <w:tcW w:w="1911" w:type="dxa"/>
            <w:vAlign w:val="center"/>
          </w:tcPr>
          <w:p w14:paraId="6F83CAD6" w14:textId="77777777" w:rsidR="00C41F5F" w:rsidRDefault="00832B23">
            <w:pPr>
              <w:adjustRightInd w:val="0"/>
              <w:snapToGrid w:val="0"/>
              <w:spacing w:before="120" w:after="120" w:line="240" w:lineRule="auto"/>
              <w:rPr>
                <w:color w:val="000000"/>
                <w:sz w:val="20"/>
              </w:rPr>
            </w:pPr>
            <w:r>
              <w:rPr>
                <w:color w:val="000000"/>
                <w:sz w:val="20"/>
              </w:rPr>
              <w:t>8</w:t>
            </w:r>
            <w:r>
              <w:rPr>
                <w:rFonts w:hint="eastAsia"/>
                <w:color w:val="000000"/>
                <w:sz w:val="20"/>
              </w:rPr>
              <w:t>3</w:t>
            </w:r>
            <w:r>
              <w:rPr>
                <w:color w:val="000000"/>
                <w:sz w:val="20"/>
              </w:rPr>
              <w:t>%~87%</w:t>
            </w:r>
          </w:p>
        </w:tc>
        <w:tc>
          <w:tcPr>
            <w:tcW w:w="1911" w:type="dxa"/>
            <w:vAlign w:val="center"/>
          </w:tcPr>
          <w:p w14:paraId="2E096CD4" w14:textId="77777777" w:rsidR="00C41F5F" w:rsidRDefault="00832B23">
            <w:pPr>
              <w:adjustRightInd w:val="0"/>
              <w:snapToGrid w:val="0"/>
              <w:spacing w:before="120" w:after="120" w:line="240" w:lineRule="auto"/>
              <w:rPr>
                <w:color w:val="000000"/>
                <w:sz w:val="20"/>
              </w:rPr>
            </w:pPr>
            <w:r>
              <w:rPr>
                <w:color w:val="000000"/>
                <w:sz w:val="20"/>
              </w:rPr>
              <w:t>85%~89%</w:t>
            </w:r>
          </w:p>
        </w:tc>
        <w:tc>
          <w:tcPr>
            <w:tcW w:w="1911" w:type="dxa"/>
            <w:vAlign w:val="center"/>
          </w:tcPr>
          <w:p w14:paraId="3AA0C8DF" w14:textId="77777777" w:rsidR="00C41F5F" w:rsidRDefault="00832B23">
            <w:pPr>
              <w:adjustRightInd w:val="0"/>
              <w:snapToGrid w:val="0"/>
              <w:spacing w:before="120" w:after="120" w:line="240" w:lineRule="auto"/>
              <w:rPr>
                <w:color w:val="000000"/>
                <w:sz w:val="20"/>
              </w:rPr>
            </w:pPr>
            <w:r>
              <w:rPr>
                <w:rFonts w:hint="eastAsia"/>
                <w:color w:val="000000"/>
                <w:sz w:val="20"/>
              </w:rPr>
              <w:t>9</w:t>
            </w:r>
            <w:r>
              <w:rPr>
                <w:color w:val="000000"/>
                <w:sz w:val="20"/>
              </w:rPr>
              <w:t>0%~94%</w:t>
            </w:r>
          </w:p>
        </w:tc>
        <w:tc>
          <w:tcPr>
            <w:tcW w:w="1911" w:type="dxa"/>
            <w:vAlign w:val="center"/>
          </w:tcPr>
          <w:p w14:paraId="4546F445" w14:textId="77777777" w:rsidR="00C41F5F" w:rsidRDefault="00832B23">
            <w:pPr>
              <w:adjustRightInd w:val="0"/>
              <w:snapToGrid w:val="0"/>
              <w:spacing w:before="120" w:after="120" w:line="240" w:lineRule="auto"/>
              <w:rPr>
                <w:color w:val="000000"/>
                <w:sz w:val="20"/>
              </w:rPr>
            </w:pPr>
            <w:r>
              <w:rPr>
                <w:rFonts w:hint="eastAsia"/>
                <w:color w:val="000000"/>
                <w:sz w:val="20"/>
              </w:rPr>
              <w:t>100%</w:t>
            </w:r>
          </w:p>
        </w:tc>
      </w:tr>
      <w:tr w:rsidR="00C41F5F" w14:paraId="49E8C0AD" w14:textId="77777777">
        <w:tc>
          <w:tcPr>
            <w:tcW w:w="1539" w:type="dxa"/>
            <w:vAlign w:val="center"/>
          </w:tcPr>
          <w:p w14:paraId="35426937" w14:textId="77777777" w:rsidR="00C41F5F" w:rsidRDefault="00832B23">
            <w:pPr>
              <w:adjustRightInd w:val="0"/>
              <w:snapToGrid w:val="0"/>
              <w:spacing w:before="120" w:after="120" w:line="240" w:lineRule="auto"/>
              <w:rPr>
                <w:color w:val="000000"/>
                <w:sz w:val="20"/>
              </w:rPr>
            </w:pPr>
            <w:r>
              <w:rPr>
                <w:rFonts w:hint="eastAsia"/>
                <w:color w:val="000000"/>
                <w:sz w:val="20"/>
              </w:rPr>
              <w:t>L2 buffer size</w:t>
            </w:r>
          </w:p>
        </w:tc>
        <w:tc>
          <w:tcPr>
            <w:tcW w:w="1911" w:type="dxa"/>
            <w:vAlign w:val="center"/>
          </w:tcPr>
          <w:p w14:paraId="4FCB2FEE" w14:textId="77777777" w:rsidR="00C41F5F" w:rsidRDefault="00832B23">
            <w:pPr>
              <w:adjustRightInd w:val="0"/>
              <w:snapToGrid w:val="0"/>
              <w:spacing w:before="120" w:after="120" w:line="240" w:lineRule="auto"/>
              <w:rPr>
                <w:color w:val="000000"/>
                <w:sz w:val="20"/>
              </w:rPr>
            </w:pPr>
            <w:r>
              <w:rPr>
                <w:rFonts w:hint="eastAsia"/>
                <w:color w:val="000000"/>
                <w:sz w:val="20"/>
              </w:rPr>
              <w:t>Low</w:t>
            </w:r>
          </w:p>
        </w:tc>
        <w:tc>
          <w:tcPr>
            <w:tcW w:w="1911" w:type="dxa"/>
            <w:vAlign w:val="center"/>
          </w:tcPr>
          <w:p w14:paraId="40FAAC35" w14:textId="77777777" w:rsidR="00C41F5F" w:rsidRDefault="00832B23">
            <w:pPr>
              <w:adjustRightInd w:val="0"/>
              <w:snapToGrid w:val="0"/>
              <w:spacing w:before="120" w:after="120" w:line="240" w:lineRule="auto"/>
              <w:rPr>
                <w:color w:val="000000"/>
                <w:sz w:val="20"/>
              </w:rPr>
            </w:pPr>
            <w:r>
              <w:rPr>
                <w:rFonts w:hint="eastAsia"/>
                <w:color w:val="000000"/>
                <w:sz w:val="20"/>
              </w:rPr>
              <w:t>Med-low</w:t>
            </w:r>
          </w:p>
        </w:tc>
        <w:tc>
          <w:tcPr>
            <w:tcW w:w="1911" w:type="dxa"/>
            <w:vAlign w:val="center"/>
          </w:tcPr>
          <w:p w14:paraId="6BAD328F" w14:textId="77777777" w:rsidR="00C41F5F" w:rsidRDefault="00832B23">
            <w:pPr>
              <w:adjustRightInd w:val="0"/>
              <w:snapToGrid w:val="0"/>
              <w:spacing w:before="120" w:after="120" w:line="240" w:lineRule="auto"/>
              <w:rPr>
                <w:color w:val="000000"/>
                <w:sz w:val="20"/>
              </w:rPr>
            </w:pPr>
            <w:r>
              <w:rPr>
                <w:rFonts w:hint="eastAsia"/>
                <w:color w:val="000000"/>
                <w:sz w:val="20"/>
              </w:rPr>
              <w:t>Med-high</w:t>
            </w:r>
          </w:p>
        </w:tc>
        <w:tc>
          <w:tcPr>
            <w:tcW w:w="1911" w:type="dxa"/>
            <w:vAlign w:val="center"/>
          </w:tcPr>
          <w:p w14:paraId="6E7998D3" w14:textId="77777777" w:rsidR="00C41F5F" w:rsidRDefault="00832B23">
            <w:pPr>
              <w:adjustRightInd w:val="0"/>
              <w:snapToGrid w:val="0"/>
              <w:spacing w:before="120" w:after="120" w:line="240" w:lineRule="auto"/>
              <w:rPr>
                <w:color w:val="000000"/>
                <w:sz w:val="20"/>
              </w:rPr>
            </w:pPr>
            <w:r>
              <w:rPr>
                <w:rFonts w:hint="eastAsia"/>
                <w:color w:val="000000"/>
                <w:sz w:val="20"/>
              </w:rPr>
              <w:t>High</w:t>
            </w:r>
          </w:p>
        </w:tc>
      </w:tr>
      <w:tr w:rsidR="00C41F5F" w14:paraId="6E68204F" w14:textId="77777777">
        <w:tc>
          <w:tcPr>
            <w:tcW w:w="1539" w:type="dxa"/>
            <w:vAlign w:val="center"/>
          </w:tcPr>
          <w:p w14:paraId="01348797" w14:textId="77777777" w:rsidR="00C41F5F" w:rsidRDefault="00832B23">
            <w:pPr>
              <w:adjustRightInd w:val="0"/>
              <w:snapToGrid w:val="0"/>
              <w:spacing w:before="120" w:after="120" w:line="240" w:lineRule="auto"/>
              <w:rPr>
                <w:color w:val="000000"/>
                <w:sz w:val="20"/>
              </w:rPr>
            </w:pPr>
            <w:r>
              <w:rPr>
                <w:rFonts w:hint="eastAsia"/>
                <w:color w:val="000000"/>
                <w:sz w:val="20"/>
              </w:rPr>
              <w:lastRenderedPageBreak/>
              <w:t>UE power consumption</w:t>
            </w:r>
          </w:p>
          <w:p w14:paraId="57425E0E" w14:textId="77777777" w:rsidR="00C41F5F" w:rsidRDefault="00832B23">
            <w:pPr>
              <w:adjustRightInd w:val="0"/>
              <w:snapToGrid w:val="0"/>
              <w:spacing w:before="120" w:after="120" w:line="240" w:lineRule="auto"/>
              <w:rPr>
                <w:color w:val="000000"/>
                <w:sz w:val="20"/>
              </w:rPr>
            </w:pPr>
            <w:r>
              <w:rPr>
                <w:rFonts w:hint="eastAsia"/>
                <w:color w:val="000000"/>
                <w:sz w:val="20"/>
              </w:rPr>
              <w:t>Note 2:</w:t>
            </w:r>
          </w:p>
        </w:tc>
        <w:tc>
          <w:tcPr>
            <w:tcW w:w="1911" w:type="dxa"/>
            <w:vAlign w:val="center"/>
          </w:tcPr>
          <w:p w14:paraId="281F33C1" w14:textId="77777777" w:rsidR="00C41F5F" w:rsidRDefault="00832B23">
            <w:pPr>
              <w:adjustRightInd w:val="0"/>
              <w:snapToGrid w:val="0"/>
              <w:spacing w:before="120" w:after="120" w:line="240" w:lineRule="auto"/>
              <w:rPr>
                <w:color w:val="000000"/>
                <w:sz w:val="20"/>
              </w:rPr>
            </w:pPr>
            <w:r>
              <w:rPr>
                <w:rFonts w:hint="eastAsia"/>
                <w:color w:val="000000"/>
                <w:sz w:val="20"/>
              </w:rPr>
              <w:t>68%</w:t>
            </w:r>
          </w:p>
        </w:tc>
        <w:tc>
          <w:tcPr>
            <w:tcW w:w="1911" w:type="dxa"/>
            <w:vAlign w:val="center"/>
          </w:tcPr>
          <w:p w14:paraId="50112AEF" w14:textId="77777777" w:rsidR="00C41F5F" w:rsidRDefault="00832B23">
            <w:pPr>
              <w:adjustRightInd w:val="0"/>
              <w:snapToGrid w:val="0"/>
              <w:spacing w:before="120" w:after="120" w:line="240" w:lineRule="auto"/>
              <w:rPr>
                <w:color w:val="000000"/>
                <w:sz w:val="20"/>
              </w:rPr>
            </w:pPr>
            <w:r>
              <w:rPr>
                <w:rFonts w:hint="eastAsia"/>
                <w:color w:val="000000"/>
                <w:sz w:val="20"/>
              </w:rPr>
              <w:t>72%</w:t>
            </w:r>
          </w:p>
        </w:tc>
        <w:tc>
          <w:tcPr>
            <w:tcW w:w="1911" w:type="dxa"/>
            <w:vAlign w:val="center"/>
          </w:tcPr>
          <w:p w14:paraId="3DA8F907" w14:textId="77777777" w:rsidR="00C41F5F" w:rsidRDefault="00832B23">
            <w:pPr>
              <w:adjustRightInd w:val="0"/>
              <w:snapToGrid w:val="0"/>
              <w:spacing w:before="120" w:after="120" w:line="240" w:lineRule="auto"/>
              <w:rPr>
                <w:color w:val="000000"/>
                <w:sz w:val="20"/>
              </w:rPr>
            </w:pPr>
            <w:r>
              <w:rPr>
                <w:rFonts w:hint="eastAsia"/>
                <w:color w:val="000000"/>
                <w:sz w:val="20"/>
              </w:rPr>
              <w:t>81%</w:t>
            </w:r>
          </w:p>
        </w:tc>
        <w:tc>
          <w:tcPr>
            <w:tcW w:w="1911" w:type="dxa"/>
            <w:vAlign w:val="center"/>
          </w:tcPr>
          <w:p w14:paraId="16665218" w14:textId="77777777" w:rsidR="00C41F5F" w:rsidRDefault="00832B23">
            <w:pPr>
              <w:adjustRightInd w:val="0"/>
              <w:snapToGrid w:val="0"/>
              <w:spacing w:before="120" w:after="120" w:line="240" w:lineRule="auto"/>
              <w:rPr>
                <w:color w:val="000000"/>
                <w:sz w:val="20"/>
              </w:rPr>
            </w:pPr>
            <w:r>
              <w:rPr>
                <w:rFonts w:hint="eastAsia"/>
                <w:color w:val="000000"/>
                <w:sz w:val="20"/>
              </w:rPr>
              <w:t>100%</w:t>
            </w:r>
          </w:p>
        </w:tc>
      </w:tr>
      <w:tr w:rsidR="00C41F5F" w14:paraId="3003E5D2" w14:textId="77777777">
        <w:tc>
          <w:tcPr>
            <w:tcW w:w="9183" w:type="dxa"/>
            <w:gridSpan w:val="5"/>
            <w:vAlign w:val="center"/>
          </w:tcPr>
          <w:p w14:paraId="2BAC5C61" w14:textId="77777777" w:rsidR="00C41F5F" w:rsidRDefault="00832B23">
            <w:pPr>
              <w:adjustRightInd w:val="0"/>
              <w:snapToGrid w:val="0"/>
              <w:spacing w:before="120" w:after="120" w:line="240" w:lineRule="auto"/>
              <w:rPr>
                <w:color w:val="000000"/>
                <w:sz w:val="20"/>
              </w:rPr>
            </w:pPr>
            <w:r>
              <w:rPr>
                <w:rFonts w:hint="eastAsia"/>
                <w:color w:val="000000"/>
                <w:sz w:val="20"/>
              </w:rPr>
              <w:t>Note 1: based on complexity/cost calculation in TR 38.865 compared to 20MHz</w:t>
            </w:r>
          </w:p>
          <w:p w14:paraId="0E60BB73" w14:textId="77777777" w:rsidR="00C41F5F" w:rsidRDefault="00832B23">
            <w:pPr>
              <w:adjustRightInd w:val="0"/>
              <w:snapToGrid w:val="0"/>
              <w:spacing w:before="120" w:after="120" w:line="240" w:lineRule="auto"/>
              <w:rPr>
                <w:color w:val="000000"/>
                <w:sz w:val="20"/>
              </w:rPr>
            </w:pPr>
            <w:r>
              <w:rPr>
                <w:rFonts w:hint="eastAsia"/>
                <w:color w:val="000000"/>
                <w:sz w:val="20"/>
              </w:rPr>
              <w:t xml:space="preserve">Note 2: based on formula </w:t>
            </w:r>
            <w:r>
              <w:rPr>
                <w:sz w:val="20"/>
              </w:rPr>
              <w:t>X MHz = 0.4 + 0.6 * (X - 20) / 80</w:t>
            </w:r>
            <w:r>
              <w:rPr>
                <w:rFonts w:hint="eastAsia"/>
                <w:color w:val="000000"/>
                <w:sz w:val="20"/>
              </w:rPr>
              <w:t xml:space="preserve"> in TR 38.840</w:t>
            </w:r>
          </w:p>
        </w:tc>
      </w:tr>
    </w:tbl>
    <w:p w14:paraId="2094883A" w14:textId="00798C3B" w:rsidR="00C41F5F" w:rsidRDefault="00832B23">
      <w:pPr>
        <w:snapToGrid w:val="0"/>
        <w:spacing w:before="120" w:after="120"/>
        <w:rPr>
          <w:sz w:val="20"/>
        </w:rPr>
      </w:pPr>
      <w:r>
        <w:rPr>
          <w:sz w:val="20"/>
        </w:rPr>
        <w:t>For example, it can be found that from t</w:t>
      </w:r>
      <w:r>
        <w:rPr>
          <w:rFonts w:hint="eastAsia"/>
          <w:sz w:val="20"/>
        </w:rPr>
        <w:t xml:space="preserve">he </w:t>
      </w:r>
      <w:r>
        <w:rPr>
          <w:sz w:val="20"/>
        </w:rPr>
        <w:t xml:space="preserve">perspective of system design, setting </w:t>
      </w:r>
      <w:r>
        <w:rPr>
          <w:rFonts w:hint="eastAsia"/>
          <w:sz w:val="20"/>
        </w:rPr>
        <w:t xml:space="preserve">3MHz </w:t>
      </w:r>
      <w:r>
        <w:rPr>
          <w:sz w:val="20"/>
        </w:rPr>
        <w:t xml:space="preserve">as the target bandwidth </w:t>
      </w:r>
      <w:r>
        <w:rPr>
          <w:rFonts w:hint="eastAsia"/>
          <w:sz w:val="20"/>
        </w:rPr>
        <w:t xml:space="preserve">would have large impacts on system performance (e.g. coverage of SSB/SIB/PDCCH, capacity) due to the limited bandwidth. </w:t>
      </w:r>
      <w:r>
        <w:rPr>
          <w:sz w:val="20"/>
        </w:rPr>
        <w:t xml:space="preserve">Additionally, for the UE design, </w:t>
      </w:r>
      <w:r>
        <w:rPr>
          <w:rFonts w:hint="eastAsia"/>
          <w:sz w:val="20"/>
        </w:rPr>
        <w:t>t</w:t>
      </w:r>
      <w:r>
        <w:rPr>
          <w:sz w:val="20"/>
        </w:rPr>
        <w:t>he corresponding device cost/co</w:t>
      </w:r>
      <w:r>
        <w:rPr>
          <w:sz w:val="20"/>
        </w:rPr>
        <w:t xml:space="preserve">mplexity and power consumption by taking 3MHz as the smallest maximum bandwidth are comparable to those of 5MHz. </w:t>
      </w:r>
      <w:r>
        <w:rPr>
          <w:rFonts w:hint="eastAsia"/>
          <w:sz w:val="20"/>
        </w:rPr>
        <w:t>Moreover</w:t>
      </w:r>
      <w:r>
        <w:rPr>
          <w:sz w:val="20"/>
        </w:rPr>
        <w:t xml:space="preserve">, </w:t>
      </w:r>
      <w:r>
        <w:rPr>
          <w:rFonts w:hint="eastAsia"/>
          <w:sz w:val="20"/>
        </w:rPr>
        <w:t xml:space="preserve">bandwidth reduction to 3MHz for BS may not bring power saving gain since </w:t>
      </w:r>
      <w:r>
        <w:rPr>
          <w:sz w:val="20"/>
        </w:rPr>
        <w:t xml:space="preserve">more transmission symbols </w:t>
      </w:r>
      <w:r>
        <w:rPr>
          <w:rFonts w:hint="eastAsia"/>
          <w:sz w:val="20"/>
        </w:rPr>
        <w:t xml:space="preserve">may be </w:t>
      </w:r>
      <w:r>
        <w:rPr>
          <w:sz w:val="20"/>
        </w:rPr>
        <w:t xml:space="preserve">required by </w:t>
      </w:r>
      <w:r>
        <w:rPr>
          <w:rFonts w:hint="eastAsia"/>
          <w:sz w:val="20"/>
        </w:rPr>
        <w:t xml:space="preserve">smaller </w:t>
      </w:r>
      <w:r>
        <w:rPr>
          <w:sz w:val="20"/>
        </w:rPr>
        <w:t>bandwid</w:t>
      </w:r>
      <w:r>
        <w:rPr>
          <w:sz w:val="20"/>
        </w:rPr>
        <w:t>th</w:t>
      </w:r>
      <w:r>
        <w:rPr>
          <w:rFonts w:hint="eastAsia"/>
          <w:sz w:val="20"/>
        </w:rPr>
        <w:t xml:space="preserve">. </w:t>
      </w:r>
      <w:r>
        <w:rPr>
          <w:sz w:val="20"/>
        </w:rPr>
        <w:t>.</w:t>
      </w:r>
    </w:p>
    <w:p w14:paraId="7D3AD1DD" w14:textId="77777777" w:rsidR="00C41F5F" w:rsidRDefault="00832B23">
      <w:pPr>
        <w:snapToGrid w:val="0"/>
        <w:spacing w:before="120" w:after="120"/>
        <w:rPr>
          <w:sz w:val="20"/>
        </w:rPr>
      </w:pPr>
      <w:r>
        <w:rPr>
          <w:rFonts w:hint="eastAsia"/>
          <w:sz w:val="20"/>
        </w:rPr>
        <w:t xml:space="preserve">5MHz </w:t>
      </w:r>
      <w:r>
        <w:rPr>
          <w:sz w:val="20"/>
        </w:rPr>
        <w:t>may have</w:t>
      </w:r>
      <w:r>
        <w:rPr>
          <w:rFonts w:hint="eastAsia"/>
          <w:sz w:val="20"/>
        </w:rPr>
        <w:t xml:space="preserve"> some impacts on SIB design but </w:t>
      </w:r>
      <w:r>
        <w:rPr>
          <w:sz w:val="20"/>
        </w:rPr>
        <w:t>remains</w:t>
      </w:r>
      <w:r>
        <w:rPr>
          <w:rFonts w:hint="eastAsia"/>
          <w:sz w:val="20"/>
        </w:rPr>
        <w:t xml:space="preserve"> acceptable. </w:t>
      </w:r>
      <w:r w:rsidRPr="00DE1177">
        <w:rPr>
          <w:sz w:val="20"/>
        </w:rPr>
        <w:t xml:space="preserve">Moreover, </w:t>
      </w:r>
      <w:r>
        <w:rPr>
          <w:sz w:val="20"/>
        </w:rPr>
        <w:t>5MHz maximum bandwidth can provide about 5% reduction in cost/complexity</w:t>
      </w:r>
      <w:r>
        <w:rPr>
          <w:rFonts w:hint="eastAsia"/>
          <w:sz w:val="20"/>
        </w:rPr>
        <w:t xml:space="preserve"> </w:t>
      </w:r>
      <w:r>
        <w:rPr>
          <w:sz w:val="20"/>
        </w:rPr>
        <w:t xml:space="preserve">and 9% reduction in power consumption compared to those of 10MHz. </w:t>
      </w:r>
      <w:r>
        <w:rPr>
          <w:rFonts w:hint="eastAsia"/>
          <w:sz w:val="20"/>
        </w:rPr>
        <w:t>Additionally, a larger smallest UE b</w:t>
      </w:r>
      <w:r>
        <w:rPr>
          <w:rFonts w:hint="eastAsia"/>
          <w:sz w:val="20"/>
        </w:rPr>
        <w:t>andwidth e.g., 10MHz would have more design challenging or performance impacts when the common signal with the larger bandwidth is transmitted in the 3MHz spectrum. The</w:t>
      </w:r>
      <w:r>
        <w:rPr>
          <w:sz w:val="20"/>
        </w:rPr>
        <w:t>refore,</w:t>
      </w:r>
      <w:r>
        <w:rPr>
          <w:rFonts w:hint="eastAsia"/>
          <w:sz w:val="20"/>
        </w:rPr>
        <w:t xml:space="preserve"> 5MHz for 15kHz</w:t>
      </w:r>
      <w:r>
        <w:rPr>
          <w:sz w:val="20"/>
        </w:rPr>
        <w:t xml:space="preserve"> SCS</w:t>
      </w:r>
      <w:r>
        <w:rPr>
          <w:rFonts w:hint="eastAsia"/>
          <w:sz w:val="20"/>
        </w:rPr>
        <w:t xml:space="preserve"> </w:t>
      </w:r>
      <w:r>
        <w:rPr>
          <w:sz w:val="20"/>
        </w:rPr>
        <w:t>can</w:t>
      </w:r>
      <w:r>
        <w:rPr>
          <w:rFonts w:hint="eastAsia"/>
          <w:sz w:val="20"/>
        </w:rPr>
        <w:t xml:space="preserve"> be studied as the starting point</w:t>
      </w:r>
      <w:r>
        <w:rPr>
          <w:sz w:val="20"/>
        </w:rPr>
        <w:t>, which is scalable along</w:t>
      </w:r>
      <w:r>
        <w:rPr>
          <w:sz w:val="20"/>
        </w:rPr>
        <w:t xml:space="preserve"> with the increase of SCS. Here, we assume that 5MHz with 15kHz is considered as the smallest maximum UE bandwidth as well as the target bandwidth optimized for initial access design.</w:t>
      </w:r>
    </w:p>
    <w:p w14:paraId="5491FF59" w14:textId="77777777" w:rsidR="00C41F5F" w:rsidRDefault="00832B23">
      <w:pPr>
        <w:snapToGrid w:val="0"/>
        <w:spacing w:before="120" w:after="120"/>
      </w:pPr>
      <w:r>
        <w:rPr>
          <w:b/>
          <w:bCs/>
          <w:i/>
          <w:sz w:val="20"/>
        </w:rPr>
        <w:t xml:space="preserve">Proposal 3-2: </w:t>
      </w:r>
      <w:r>
        <w:rPr>
          <w:bCs/>
          <w:i/>
          <w:sz w:val="20"/>
        </w:rPr>
        <w:t>5MHz with 15kHz SCS</w:t>
      </w:r>
      <w:r>
        <w:rPr>
          <w:rFonts w:hint="eastAsia"/>
          <w:bCs/>
          <w:i/>
          <w:sz w:val="20"/>
        </w:rPr>
        <w:t xml:space="preserve"> as </w:t>
      </w:r>
      <w:r>
        <w:rPr>
          <w:bCs/>
          <w:i/>
          <w:sz w:val="20"/>
        </w:rPr>
        <w:t xml:space="preserve">the </w:t>
      </w:r>
      <w:r>
        <w:rPr>
          <w:rFonts w:hint="eastAsia"/>
          <w:bCs/>
          <w:i/>
          <w:sz w:val="20"/>
        </w:rPr>
        <w:t xml:space="preserve">smallest </w:t>
      </w:r>
      <w:r>
        <w:rPr>
          <w:bCs/>
          <w:i/>
          <w:sz w:val="20"/>
        </w:rPr>
        <w:t xml:space="preserve">maximum </w:t>
      </w:r>
      <w:r>
        <w:rPr>
          <w:rFonts w:hint="eastAsia"/>
          <w:bCs/>
          <w:i/>
          <w:sz w:val="20"/>
        </w:rPr>
        <w:t>UE bandwidth</w:t>
      </w:r>
      <w:r>
        <w:rPr>
          <w:bCs/>
          <w:i/>
          <w:sz w:val="20"/>
        </w:rPr>
        <w:t xml:space="preserve"> should be considered as the baseline for 6GR</w:t>
      </w:r>
      <w:r>
        <w:rPr>
          <w:rFonts w:hint="eastAsia"/>
          <w:bCs/>
          <w:i/>
          <w:sz w:val="20"/>
        </w:rPr>
        <w:t xml:space="preserve"> </w:t>
      </w:r>
      <w:r>
        <w:rPr>
          <w:bCs/>
          <w:i/>
          <w:sz w:val="20"/>
        </w:rPr>
        <w:t>system design, which is scalable along with different SCS.</w:t>
      </w:r>
    </w:p>
    <w:p w14:paraId="7FFDE11B" w14:textId="77777777" w:rsidR="00C41F5F" w:rsidRPr="00DE1177" w:rsidRDefault="00832B23">
      <w:pPr>
        <w:snapToGrid w:val="0"/>
        <w:spacing w:before="120" w:after="120"/>
        <w:rPr>
          <w:sz w:val="20"/>
        </w:rPr>
      </w:pPr>
      <w:r w:rsidRPr="00DE1177">
        <w:rPr>
          <w:sz w:val="20"/>
        </w:rPr>
        <w:t>For other issues on the smallest maximum UE bandwidth, e.g., whether DL/UL bandwidth is the same, whether RF and BB bandwidth is the same, also need to</w:t>
      </w:r>
      <w:r w:rsidRPr="00DE1177">
        <w:rPr>
          <w:sz w:val="20"/>
        </w:rPr>
        <w:t xml:space="preserve"> be clarified. In Rel-18 eRedCap, RF bandwidth and BB bandwidth are decoupled, wherein the RF bandwidth is 20MHz and BB bandwidth is 5MHz. But the benefits are quite limited and the impacts on system is observed, especially for initial access. Therefore, t</w:t>
      </w:r>
      <w:r w:rsidRPr="00DE1177">
        <w:rPr>
          <w:sz w:val="20"/>
        </w:rPr>
        <w:t xml:space="preserve">here is no need to consider RF and BB bandwidth decoupling in 6G day1. As for the DL and UL bandwidth decoupling, we fail to see the benefits, especially considering there some components are shared for DL and UL, e.g., memory or filters. </w:t>
      </w:r>
    </w:p>
    <w:p w14:paraId="49B1B89A" w14:textId="77777777" w:rsidR="00C41F5F" w:rsidRDefault="00832B23">
      <w:pPr>
        <w:snapToGrid w:val="0"/>
        <w:spacing w:before="120" w:after="120"/>
        <w:rPr>
          <w:bCs/>
          <w:i/>
          <w:sz w:val="20"/>
        </w:rPr>
      </w:pPr>
      <w:r>
        <w:rPr>
          <w:b/>
          <w:bCs/>
          <w:i/>
          <w:sz w:val="20"/>
        </w:rPr>
        <w:t xml:space="preserve">Proposal 3-3: </w:t>
      </w:r>
      <w:r>
        <w:rPr>
          <w:bCs/>
          <w:i/>
          <w:sz w:val="20"/>
        </w:rPr>
        <w:t>DL</w:t>
      </w:r>
      <w:r>
        <w:rPr>
          <w:bCs/>
          <w:i/>
          <w:sz w:val="20"/>
        </w:rPr>
        <w:t>/UL bandwidth and BB/RF bandwidth are the same for a device.</w:t>
      </w:r>
    </w:p>
    <w:p w14:paraId="4203C616" w14:textId="77777777" w:rsidR="00C41F5F" w:rsidRDefault="00832B23">
      <w:pPr>
        <w:snapToGrid w:val="0"/>
        <w:spacing w:before="120" w:after="120"/>
        <w:rPr>
          <w:sz w:val="20"/>
        </w:rPr>
      </w:pPr>
      <w:r>
        <w:rPr>
          <w:sz w:val="20"/>
        </w:rPr>
        <w:t>According to the progress in RAN#109 along with following RAN1 Chair guidance</w:t>
      </w:r>
      <w:r>
        <w:rPr>
          <w:sz w:val="20"/>
        </w:rPr>
        <w:fldChar w:fldCharType="begin"/>
      </w:r>
      <w:r>
        <w:rPr>
          <w:sz w:val="20"/>
        </w:rPr>
        <w:instrText xml:space="preserve"> REF _Ref209778073 \r \h </w:instrText>
      </w:r>
      <w:r>
        <w:rPr>
          <w:sz w:val="20"/>
        </w:rPr>
      </w:r>
      <w:r>
        <w:rPr>
          <w:sz w:val="20"/>
        </w:rPr>
        <w:fldChar w:fldCharType="separate"/>
      </w:r>
      <w:r>
        <w:rPr>
          <w:sz w:val="20"/>
        </w:rPr>
        <w:t>[2]</w:t>
      </w:r>
      <w:r>
        <w:rPr>
          <w:sz w:val="20"/>
        </w:rPr>
        <w:fldChar w:fldCharType="end"/>
      </w:r>
      <w:r>
        <w:rPr>
          <w:sz w:val="20"/>
        </w:rPr>
        <w:t>, in this section, the</w:t>
      </w:r>
      <w:r>
        <w:rPr>
          <w:sz w:val="20"/>
        </w:rPr>
        <w:t xml:space="preserve"> views on how to address the impacts of minimum spectrum allocation is provided.</w:t>
      </w:r>
    </w:p>
    <w:tbl>
      <w:tblPr>
        <w:tblStyle w:val="af3"/>
        <w:tblW w:w="0" w:type="auto"/>
        <w:tblLook w:val="04A0" w:firstRow="1" w:lastRow="0" w:firstColumn="1" w:lastColumn="0" w:noHBand="0" w:noVBand="1"/>
      </w:tblPr>
      <w:tblGrid>
        <w:gridCol w:w="9650"/>
      </w:tblGrid>
      <w:tr w:rsidR="00C41F5F" w14:paraId="10A16157" w14:textId="77777777">
        <w:tc>
          <w:tcPr>
            <w:tcW w:w="9650" w:type="dxa"/>
          </w:tcPr>
          <w:p w14:paraId="25D3012D" w14:textId="77777777" w:rsidR="00C41F5F" w:rsidRDefault="00832B23">
            <w:pPr>
              <w:snapToGrid w:val="0"/>
              <w:spacing w:before="120" w:after="120"/>
              <w:rPr>
                <w:sz w:val="20"/>
              </w:rPr>
            </w:pPr>
            <w:r>
              <w:rPr>
                <w:sz w:val="20"/>
                <w:highlight w:val="cyan"/>
              </w:rPr>
              <w:t>Chair guidance</w:t>
            </w:r>
          </w:p>
          <w:p w14:paraId="2AE0E441" w14:textId="77777777" w:rsidR="00C41F5F" w:rsidRDefault="00832B23">
            <w:pPr>
              <w:snapToGrid w:val="0"/>
              <w:spacing w:before="120" w:after="120"/>
              <w:rPr>
                <w:sz w:val="20"/>
              </w:rPr>
            </w:pPr>
            <w:r>
              <w:rPr>
                <w:sz w:val="20"/>
              </w:rPr>
              <w:t xml:space="preserve">RAN1 will focus on </w:t>
            </w:r>
            <w:r>
              <w:rPr>
                <w:b/>
                <w:sz w:val="20"/>
              </w:rPr>
              <w:t>how to support the minimum spectrum allocation</w:t>
            </w:r>
            <w:r>
              <w:rPr>
                <w:sz w:val="20"/>
              </w:rPr>
              <w:t>, especially the case where the minimum spectrum and the smallest maximum UE bandwidth can’t ma</w:t>
            </w:r>
            <w:r>
              <w:rPr>
                <w:sz w:val="20"/>
              </w:rPr>
              <w:t>tch, considering that it is hard to purely discuss these two elements in RAN1</w:t>
            </w:r>
          </w:p>
        </w:tc>
      </w:tr>
    </w:tbl>
    <w:p w14:paraId="1A200446" w14:textId="77777777" w:rsidR="00C41F5F" w:rsidRDefault="00832B23">
      <w:pPr>
        <w:snapToGrid w:val="0"/>
        <w:spacing w:before="120" w:after="120"/>
        <w:rPr>
          <w:sz w:val="20"/>
        </w:rPr>
      </w:pPr>
      <w:r>
        <w:rPr>
          <w:rFonts w:hint="eastAsia"/>
          <w:sz w:val="20"/>
        </w:rPr>
        <w:t>If t</w:t>
      </w:r>
      <w:r>
        <w:rPr>
          <w:sz w:val="20"/>
        </w:rPr>
        <w:t>he minimum allocated spectrum</w:t>
      </w:r>
      <w:r>
        <w:rPr>
          <w:rFonts w:hint="eastAsia"/>
          <w:sz w:val="20"/>
        </w:rPr>
        <w:t xml:space="preserve"> is 3MHz, some solutions </w:t>
      </w:r>
      <w:r>
        <w:rPr>
          <w:sz w:val="20"/>
        </w:rPr>
        <w:t>to address the case when</w:t>
      </w:r>
      <w:r>
        <w:rPr>
          <w:rFonts w:hint="eastAsia"/>
          <w:sz w:val="20"/>
        </w:rPr>
        <w:t xml:space="preserve"> the smallest maximum UE bandwidth is larger than the minimum spectrum allocation</w:t>
      </w:r>
      <w:r>
        <w:rPr>
          <w:sz w:val="20"/>
        </w:rPr>
        <w:t xml:space="preserve"> has been disc</w:t>
      </w:r>
      <w:r>
        <w:rPr>
          <w:sz w:val="20"/>
        </w:rPr>
        <w:t>ussed in RAN#122bis meeting.</w:t>
      </w:r>
    </w:p>
    <w:p w14:paraId="5950B7B6" w14:textId="77777777" w:rsidR="00C41F5F" w:rsidRDefault="00832B23">
      <w:pPr>
        <w:pStyle w:val="a9"/>
        <w:numPr>
          <w:ilvl w:val="1"/>
          <w:numId w:val="14"/>
        </w:numPr>
        <w:snapToGrid w:val="0"/>
        <w:spacing w:before="120"/>
        <w:rPr>
          <w:rFonts w:ascii="Times New Roman" w:hAnsi="Times New Roman"/>
          <w:sz w:val="20"/>
          <w:szCs w:val="22"/>
        </w:rPr>
      </w:pPr>
      <w:r>
        <w:rPr>
          <w:rFonts w:ascii="Times New Roman" w:hAnsi="Times New Roman"/>
          <w:sz w:val="20"/>
          <w:szCs w:val="22"/>
        </w:rPr>
        <w:t>Opt1: common signals/channels BW for initial access are punctured to fit into the minimum spectrum allocation, if the minimum spectrum allocation is smaller than the common signals/channels BW for initial access (if this case i</w:t>
      </w:r>
      <w:r>
        <w:rPr>
          <w:rFonts w:ascii="Times New Roman" w:hAnsi="Times New Roman"/>
          <w:sz w:val="20"/>
          <w:szCs w:val="22"/>
        </w:rPr>
        <w:t>s supported)</w:t>
      </w:r>
    </w:p>
    <w:p w14:paraId="08A4A97F" w14:textId="77777777" w:rsidR="00C41F5F" w:rsidRDefault="00832B23">
      <w:pPr>
        <w:pStyle w:val="a9"/>
        <w:numPr>
          <w:ilvl w:val="1"/>
          <w:numId w:val="14"/>
        </w:numPr>
        <w:snapToGrid w:val="0"/>
        <w:spacing w:before="120"/>
        <w:rPr>
          <w:rFonts w:ascii="Times New Roman" w:hAnsi="Times New Roman"/>
          <w:sz w:val="20"/>
          <w:szCs w:val="22"/>
        </w:rPr>
      </w:pPr>
      <w:r>
        <w:rPr>
          <w:rFonts w:ascii="Times New Roman" w:hAnsi="Times New Roman"/>
          <w:sz w:val="20"/>
          <w:szCs w:val="22"/>
        </w:rPr>
        <w:t>Opt2: Scalable design of the common signals/channels for initial access for the minimum spectrum allocation from other spectrum allocations, if the minimum spectrum allocation is smaller than the common signals/channels BW for initial access f</w:t>
      </w:r>
      <w:r>
        <w:rPr>
          <w:rFonts w:ascii="Times New Roman" w:hAnsi="Times New Roman"/>
          <w:sz w:val="20"/>
          <w:szCs w:val="22"/>
        </w:rPr>
        <w:t>or other spectrum allocations</w:t>
      </w:r>
    </w:p>
    <w:p w14:paraId="30072196" w14:textId="77777777" w:rsidR="00C41F5F" w:rsidRDefault="00832B23">
      <w:pPr>
        <w:pStyle w:val="a9"/>
        <w:numPr>
          <w:ilvl w:val="1"/>
          <w:numId w:val="14"/>
        </w:numPr>
        <w:snapToGrid w:val="0"/>
        <w:spacing w:before="120"/>
        <w:rPr>
          <w:rFonts w:ascii="Times New Roman" w:hAnsi="Times New Roman"/>
          <w:sz w:val="20"/>
          <w:szCs w:val="22"/>
        </w:rPr>
      </w:pPr>
      <w:r>
        <w:rPr>
          <w:rFonts w:ascii="Times New Roman" w:hAnsi="Times New Roman"/>
          <w:sz w:val="20"/>
          <w:szCs w:val="22"/>
        </w:rPr>
        <w:t>Opt3: A single design of the common signals/channels for initial access which is applicable to any spectrum allocations</w:t>
      </w:r>
    </w:p>
    <w:p w14:paraId="1CA05707" w14:textId="52055F31" w:rsidR="00C41F5F" w:rsidRDefault="00832B23">
      <w:pPr>
        <w:snapToGrid w:val="0"/>
        <w:spacing w:before="120" w:after="120"/>
        <w:rPr>
          <w:sz w:val="20"/>
        </w:rPr>
      </w:pPr>
      <w:r>
        <w:rPr>
          <w:rFonts w:hint="eastAsia"/>
          <w:sz w:val="20"/>
        </w:rPr>
        <w:lastRenderedPageBreak/>
        <w:t xml:space="preserve">For option3, </w:t>
      </w:r>
      <w:r>
        <w:rPr>
          <w:rFonts w:hint="eastAsia"/>
          <w:sz w:val="20"/>
        </w:rPr>
        <w:t>SSB</w:t>
      </w:r>
      <w:r>
        <w:rPr>
          <w:sz w:val="20"/>
        </w:rPr>
        <w:t>,</w:t>
      </w:r>
      <w:r>
        <w:rPr>
          <w:rFonts w:hint="eastAsia"/>
          <w:sz w:val="20"/>
        </w:rPr>
        <w:t xml:space="preserve"> CORES</w:t>
      </w:r>
      <w:r>
        <w:rPr>
          <w:sz w:val="20"/>
        </w:rPr>
        <w:t>E</w:t>
      </w:r>
      <w:r>
        <w:rPr>
          <w:rFonts w:hint="eastAsia"/>
          <w:sz w:val="20"/>
        </w:rPr>
        <w:t>T</w:t>
      </w:r>
      <w:r>
        <w:rPr>
          <w:sz w:val="20"/>
        </w:rPr>
        <w:t>0</w:t>
      </w:r>
      <w:r>
        <w:rPr>
          <w:rFonts w:hint="eastAsia"/>
          <w:sz w:val="20"/>
        </w:rPr>
        <w:t xml:space="preserve"> and SIB1 would be limited into 3MHz, </w:t>
      </w:r>
      <w:r>
        <w:rPr>
          <w:sz w:val="20"/>
        </w:rPr>
        <w:t>which has been analyzed in section 2 w</w:t>
      </w:r>
      <w:r>
        <w:rPr>
          <w:sz w:val="20"/>
        </w:rPr>
        <w:t>ith a lot of drawbacks</w:t>
      </w:r>
      <w:r>
        <w:rPr>
          <w:rFonts w:hint="eastAsia"/>
          <w:sz w:val="20"/>
        </w:rPr>
        <w:t xml:space="preserve">. Option1 is </w:t>
      </w:r>
      <w:r>
        <w:rPr>
          <w:sz w:val="20"/>
        </w:rPr>
        <w:t>similar with the design</w:t>
      </w:r>
      <w:r>
        <w:rPr>
          <w:rFonts w:hint="eastAsia"/>
          <w:sz w:val="20"/>
        </w:rPr>
        <w:t xml:space="preserve"> </w:t>
      </w:r>
      <w:r>
        <w:rPr>
          <w:sz w:val="20"/>
        </w:rPr>
        <w:t>in</w:t>
      </w:r>
      <w:r>
        <w:rPr>
          <w:rFonts w:hint="eastAsia"/>
          <w:sz w:val="20"/>
        </w:rPr>
        <w:t xml:space="preserve"> NR Rel-18, </w:t>
      </w:r>
      <w:r>
        <w:rPr>
          <w:sz w:val="20"/>
        </w:rPr>
        <w:t>wherein some</w:t>
      </w:r>
      <w:r>
        <w:rPr>
          <w:rFonts w:hint="eastAsia"/>
          <w:sz w:val="20"/>
        </w:rPr>
        <w:t xml:space="preserve"> performance loss</w:t>
      </w:r>
      <w:r>
        <w:rPr>
          <w:sz w:val="20"/>
        </w:rPr>
        <w:t xml:space="preserve"> was observed, e.g., for SSB detection</w:t>
      </w:r>
      <w:r>
        <w:rPr>
          <w:rFonts w:hint="eastAsia"/>
          <w:sz w:val="20"/>
        </w:rPr>
        <w:t>.</w:t>
      </w:r>
      <w:r>
        <w:rPr>
          <w:sz w:val="20"/>
        </w:rPr>
        <w:t xml:space="preserve"> And the performance can be improved by the solution proposed in section 6, e.g., optimized resource mapping, in 6G</w:t>
      </w:r>
      <w:r>
        <w:rPr>
          <w:sz w:val="20"/>
        </w:rPr>
        <w:t>.</w:t>
      </w:r>
      <w:r>
        <w:rPr>
          <w:rFonts w:hint="eastAsia"/>
          <w:sz w:val="20"/>
        </w:rPr>
        <w:t xml:space="preserve"> For option 2, if SSB is scalable across different spectrum allocation, </w:t>
      </w:r>
      <w:r>
        <w:rPr>
          <w:sz w:val="20"/>
        </w:rPr>
        <w:t>it will increase detection complexity</w:t>
      </w:r>
      <w:r>
        <w:rPr>
          <w:rFonts w:hint="eastAsia"/>
          <w:sz w:val="20"/>
        </w:rPr>
        <w:t xml:space="preserve">. </w:t>
      </w:r>
      <w:r>
        <w:rPr>
          <w:sz w:val="20"/>
        </w:rPr>
        <w:t xml:space="preserve">However, after UE successfully detects PBCH, the resource allocation of </w:t>
      </w:r>
      <w:r>
        <w:rPr>
          <w:rFonts w:hint="eastAsia"/>
          <w:sz w:val="20"/>
        </w:rPr>
        <w:t>CORESET#0/SIB1</w:t>
      </w:r>
      <w:r>
        <w:rPr>
          <w:sz w:val="20"/>
        </w:rPr>
        <w:t xml:space="preserve"> can be indicated by</w:t>
      </w:r>
      <w:r>
        <w:rPr>
          <w:rFonts w:hint="eastAsia"/>
          <w:sz w:val="20"/>
        </w:rPr>
        <w:t xml:space="preserve"> MIB</w:t>
      </w:r>
      <w:r>
        <w:rPr>
          <w:sz w:val="20"/>
        </w:rPr>
        <w:t xml:space="preserve"> to</w:t>
      </w:r>
      <w:r>
        <w:rPr>
          <w:rFonts w:hint="eastAsia"/>
          <w:sz w:val="20"/>
        </w:rPr>
        <w:t xml:space="preserve"> achieve scalable design. Therefore, for SSB, option1</w:t>
      </w:r>
      <w:r>
        <w:rPr>
          <w:sz w:val="20"/>
        </w:rPr>
        <w:t xml:space="preserve"> can be considered and </w:t>
      </w:r>
      <w:r>
        <w:rPr>
          <w:rFonts w:hint="eastAsia"/>
          <w:sz w:val="20"/>
        </w:rPr>
        <w:t xml:space="preserve">for other common signal/channels, </w:t>
      </w:r>
      <w:r>
        <w:rPr>
          <w:sz w:val="20"/>
        </w:rPr>
        <w:t>option 2 can be used</w:t>
      </w:r>
      <w:r>
        <w:rPr>
          <w:rFonts w:hint="eastAsia"/>
          <w:sz w:val="20"/>
        </w:rPr>
        <w:t>.</w:t>
      </w:r>
    </w:p>
    <w:p w14:paraId="4E3771B9" w14:textId="77777777" w:rsidR="00C41F5F" w:rsidRDefault="00832B23">
      <w:pPr>
        <w:snapToGrid w:val="0"/>
        <w:spacing w:before="120" w:after="120"/>
        <w:rPr>
          <w:i/>
          <w:iCs/>
          <w:sz w:val="20"/>
        </w:rPr>
      </w:pPr>
      <w:r>
        <w:rPr>
          <w:b/>
          <w:i/>
          <w:iCs/>
          <w:sz w:val="20"/>
        </w:rPr>
        <w:t>Proposal 3-4</w:t>
      </w:r>
      <w:r>
        <w:rPr>
          <w:i/>
          <w:iCs/>
          <w:sz w:val="20"/>
        </w:rPr>
        <w:t xml:space="preserve">: </w:t>
      </w:r>
      <w:r>
        <w:rPr>
          <w:rFonts w:hint="eastAsia"/>
          <w:i/>
          <w:iCs/>
          <w:sz w:val="20"/>
        </w:rPr>
        <w:t>O</w:t>
      </w:r>
      <w:r>
        <w:rPr>
          <w:i/>
          <w:iCs/>
          <w:sz w:val="20"/>
        </w:rPr>
        <w:t xml:space="preserve">ption 1 and </w:t>
      </w:r>
      <w:r>
        <w:rPr>
          <w:rFonts w:hint="eastAsia"/>
          <w:i/>
          <w:iCs/>
          <w:sz w:val="20"/>
        </w:rPr>
        <w:t>O</w:t>
      </w:r>
      <w:r>
        <w:rPr>
          <w:i/>
          <w:iCs/>
          <w:sz w:val="20"/>
        </w:rPr>
        <w:t xml:space="preserve">ption 2 </w:t>
      </w:r>
      <w:r>
        <w:rPr>
          <w:rFonts w:hint="eastAsia"/>
          <w:i/>
          <w:iCs/>
          <w:sz w:val="20"/>
        </w:rPr>
        <w:t>can</w:t>
      </w:r>
      <w:r>
        <w:rPr>
          <w:i/>
          <w:iCs/>
          <w:sz w:val="20"/>
        </w:rPr>
        <w:t xml:space="preserve"> be considered as</w:t>
      </w:r>
      <w:r>
        <w:rPr>
          <w:i/>
          <w:iCs/>
          <w:sz w:val="20"/>
        </w:rPr>
        <w:t xml:space="preserve"> a</w:t>
      </w:r>
      <w:r>
        <w:rPr>
          <w:i/>
          <w:iCs/>
          <w:sz w:val="20"/>
        </w:rPr>
        <w:t xml:space="preserve"> star</w:t>
      </w:r>
      <w:r>
        <w:rPr>
          <w:i/>
          <w:iCs/>
          <w:sz w:val="20"/>
        </w:rPr>
        <w:t>t</w:t>
      </w:r>
      <w:r>
        <w:rPr>
          <w:i/>
          <w:iCs/>
          <w:sz w:val="20"/>
        </w:rPr>
        <w:t xml:space="preserve">ing point to support the case that the minimum spectrum and </w:t>
      </w:r>
      <w:r>
        <w:rPr>
          <w:i/>
          <w:iCs/>
          <w:sz w:val="20"/>
        </w:rPr>
        <w:t>the smallest maximum UE bandwidth can’t match if occurs.</w:t>
      </w:r>
    </w:p>
    <w:p w14:paraId="4012994E"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Coverage</w:t>
      </w:r>
      <w:r>
        <w:rPr>
          <w:rFonts w:ascii="Times New Roman" w:eastAsia="宋体" w:hAnsi="Times New Roman"/>
          <w:b/>
          <w:bCs/>
          <w:sz w:val="28"/>
          <w:szCs w:val="28"/>
        </w:rPr>
        <w:t xml:space="preserve"> </w:t>
      </w:r>
    </w:p>
    <w:p w14:paraId="249009AC" w14:textId="77777777" w:rsidR="00C41F5F" w:rsidRDefault="00832B23">
      <w:pPr>
        <w:spacing w:before="120" w:after="120" w:line="20" w:lineRule="atLeast"/>
        <w:rPr>
          <w:color w:val="000000"/>
          <w:sz w:val="20"/>
          <w:lang w:eastAsia="en-US"/>
        </w:rPr>
      </w:pPr>
      <w:r>
        <w:rPr>
          <w:bCs/>
          <w:sz w:val="20"/>
        </w:rPr>
        <w:t>For this topic, based on the progress achieved in RAN#109</w:t>
      </w:r>
      <w:r>
        <w:rPr>
          <w:bCs/>
          <w:sz w:val="20"/>
        </w:rPr>
        <w:fldChar w:fldCharType="begin"/>
      </w:r>
      <w:r>
        <w:rPr>
          <w:bCs/>
          <w:sz w:val="20"/>
        </w:rPr>
        <w:instrText xml:space="preserve"> REF _Ref209778073 \r \h </w:instrText>
      </w:r>
      <w:r>
        <w:rPr>
          <w:bCs/>
          <w:sz w:val="20"/>
        </w:rPr>
      </w:r>
      <w:r>
        <w:rPr>
          <w:bCs/>
          <w:sz w:val="20"/>
        </w:rPr>
        <w:fldChar w:fldCharType="separate"/>
      </w:r>
      <w:r>
        <w:rPr>
          <w:bCs/>
          <w:sz w:val="20"/>
        </w:rPr>
        <w:t>[2]</w:t>
      </w:r>
      <w:r>
        <w:rPr>
          <w:bCs/>
          <w:sz w:val="20"/>
        </w:rPr>
        <w:fldChar w:fldCharType="end"/>
      </w:r>
      <w:r>
        <w:rPr>
          <w:color w:val="000000"/>
          <w:sz w:val="20"/>
          <w:lang w:eastAsia="en-US"/>
        </w:rPr>
        <w:t xml:space="preserve"> and RAN1#122bis listed below, </w:t>
      </w:r>
      <w:r>
        <w:rPr>
          <w:color w:val="000000"/>
          <w:sz w:val="20"/>
          <w:lang w:eastAsia="en-US"/>
        </w:rPr>
        <w:t>the v</w:t>
      </w:r>
      <w:r>
        <w:rPr>
          <w:color w:val="000000"/>
          <w:sz w:val="20"/>
          <w:lang w:eastAsia="en-US"/>
        </w:rPr>
        <w:t>iews on the methodology and initial analysis are provided in this section along with potential approaches to ensure coverage in 6G.</w:t>
      </w:r>
    </w:p>
    <w:tbl>
      <w:tblPr>
        <w:tblStyle w:val="af3"/>
        <w:tblW w:w="0" w:type="auto"/>
        <w:tblLook w:val="04A0" w:firstRow="1" w:lastRow="0" w:firstColumn="1" w:lastColumn="0" w:noHBand="0" w:noVBand="1"/>
      </w:tblPr>
      <w:tblGrid>
        <w:gridCol w:w="9650"/>
      </w:tblGrid>
      <w:tr w:rsidR="00C41F5F" w14:paraId="6F631879" w14:textId="77777777">
        <w:tc>
          <w:tcPr>
            <w:tcW w:w="9650" w:type="dxa"/>
          </w:tcPr>
          <w:p w14:paraId="44CFD823" w14:textId="77777777" w:rsidR="00C41F5F" w:rsidRDefault="00832B23">
            <w:pPr>
              <w:pStyle w:val="23"/>
              <w:spacing w:before="120" w:beforeAutospacing="0" w:after="120" w:afterAutospacing="0" w:line="240" w:lineRule="auto"/>
              <w:ind w:leftChars="0" w:left="0"/>
              <w:contextualSpacing/>
              <w:rPr>
                <w:rFonts w:eastAsia="等线"/>
                <w:b/>
                <w:bCs/>
                <w:sz w:val="20"/>
                <w:u w:val="single"/>
              </w:rPr>
            </w:pPr>
            <w:r>
              <w:rPr>
                <w:rFonts w:eastAsia="等线"/>
                <w:b/>
                <w:bCs/>
                <w:sz w:val="20"/>
                <w:u w:val="single"/>
              </w:rPr>
              <w:t xml:space="preserve">RAN1#122-BIS: </w:t>
            </w:r>
          </w:p>
          <w:p w14:paraId="74A38995" w14:textId="77777777" w:rsidR="00C41F5F" w:rsidRDefault="00832B23">
            <w:pPr>
              <w:spacing w:before="120" w:after="120" w:line="240" w:lineRule="auto"/>
              <w:contextualSpacing/>
              <w:rPr>
                <w:rFonts w:eastAsia="等线"/>
                <w:b/>
                <w:kern w:val="0"/>
                <w:sz w:val="20"/>
              </w:rPr>
            </w:pPr>
            <w:r>
              <w:rPr>
                <w:rFonts w:eastAsia="等线"/>
                <w:b/>
                <w:sz w:val="20"/>
              </w:rPr>
              <w:t>Agreement</w:t>
            </w:r>
          </w:p>
          <w:p w14:paraId="40E21549" w14:textId="77777777" w:rsidR="00C41F5F" w:rsidRDefault="00832B23">
            <w:pPr>
              <w:pStyle w:val="23"/>
              <w:spacing w:beforeLines="0" w:before="50" w:beforeAutospacing="0" w:afterLines="0" w:after="50" w:afterAutospacing="0" w:line="240" w:lineRule="auto"/>
              <w:ind w:leftChars="0" w:left="0"/>
              <w:contextualSpacing/>
              <w:rPr>
                <w:rFonts w:eastAsia="Batang"/>
                <w:color w:val="000000" w:themeColor="text1"/>
                <w:kern w:val="0"/>
                <w:sz w:val="20"/>
              </w:rPr>
            </w:pPr>
            <w:r>
              <w:rPr>
                <w:rFonts w:eastAsia="Batang"/>
                <w:color w:val="000000" w:themeColor="text1"/>
                <w:kern w:val="0"/>
                <w:sz w:val="20"/>
              </w:rPr>
              <w:t>RAN1 provides</w:t>
            </w:r>
            <w:r>
              <w:rPr>
                <w:rFonts w:eastAsia="等线"/>
                <w:color w:val="000000" w:themeColor="text1"/>
                <w:kern w:val="0"/>
                <w:sz w:val="20"/>
              </w:rPr>
              <w:t xml:space="preserve"> methodology and</w:t>
            </w:r>
            <w:r>
              <w:rPr>
                <w:rFonts w:eastAsia="Batang"/>
                <w:color w:val="000000" w:themeColor="text1"/>
                <w:kern w:val="0"/>
                <w:sz w:val="20"/>
              </w:rPr>
              <w:t xml:space="preserve"> </w:t>
            </w:r>
            <w:r>
              <w:rPr>
                <w:rFonts w:eastAsia="等线"/>
                <w:color w:val="000000" w:themeColor="text1"/>
                <w:kern w:val="0"/>
                <w:sz w:val="20"/>
              </w:rPr>
              <w:t xml:space="preserve">corresponding </w:t>
            </w:r>
            <w:r>
              <w:rPr>
                <w:rFonts w:eastAsia="Batang"/>
                <w:color w:val="000000" w:themeColor="text1"/>
                <w:kern w:val="0"/>
                <w:sz w:val="20"/>
              </w:rPr>
              <w:t>initial analysis of potentially achievable coverage</w:t>
            </w:r>
            <w:r>
              <w:rPr>
                <w:rFonts w:eastAsia="等线"/>
                <w:color w:val="000000" w:themeColor="text1"/>
                <w:kern w:val="0"/>
                <w:sz w:val="20"/>
              </w:rPr>
              <w:t xml:space="preserve"> </w:t>
            </w:r>
            <w:r>
              <w:rPr>
                <w:rFonts w:eastAsia="Batang"/>
                <w:color w:val="000000" w:themeColor="text1"/>
                <w:kern w:val="0"/>
                <w:sz w:val="20"/>
              </w:rPr>
              <w:t xml:space="preserve">to </w:t>
            </w:r>
            <w:r>
              <w:rPr>
                <w:rFonts w:eastAsia="Batang"/>
                <w:color w:val="000000" w:themeColor="text1"/>
                <w:kern w:val="0"/>
                <w:sz w:val="20"/>
              </w:rPr>
              <w:t>RAN#110 to determine the coverage target(s)</w:t>
            </w:r>
          </w:p>
          <w:p w14:paraId="3C576A9C" w14:textId="77777777" w:rsidR="00C41F5F" w:rsidRDefault="00C41F5F">
            <w:pPr>
              <w:pStyle w:val="23"/>
              <w:spacing w:beforeLines="0" w:before="50" w:beforeAutospacing="0" w:afterLines="0" w:after="50" w:afterAutospacing="0" w:line="240" w:lineRule="auto"/>
              <w:ind w:leftChars="0" w:left="0"/>
              <w:contextualSpacing/>
              <w:rPr>
                <w:sz w:val="20"/>
              </w:rPr>
            </w:pPr>
          </w:p>
          <w:p w14:paraId="00A1BB64" w14:textId="77777777" w:rsidR="00C41F5F" w:rsidRDefault="00832B23">
            <w:pPr>
              <w:pStyle w:val="23"/>
              <w:spacing w:beforeLines="0" w:before="50" w:beforeAutospacing="0" w:afterLines="0" w:after="50" w:afterAutospacing="0" w:line="240" w:lineRule="auto"/>
              <w:ind w:leftChars="0" w:left="0"/>
              <w:contextualSpacing/>
              <w:rPr>
                <w:b/>
                <w:sz w:val="20"/>
              </w:rPr>
            </w:pPr>
            <w:r>
              <w:rPr>
                <w:b/>
                <w:sz w:val="20"/>
              </w:rPr>
              <w:t>RAN#109 Highlights:</w:t>
            </w:r>
          </w:p>
          <w:p w14:paraId="579EA133" w14:textId="77777777" w:rsidR="00C41F5F" w:rsidRDefault="00832B23">
            <w:pPr>
              <w:numPr>
                <w:ilvl w:val="1"/>
                <w:numId w:val="15"/>
              </w:numPr>
              <w:spacing w:before="120" w:after="120" w:line="240" w:lineRule="auto"/>
              <w:rPr>
                <w:color w:val="000000"/>
                <w:sz w:val="20"/>
                <w:lang w:eastAsia="en-US"/>
              </w:rPr>
            </w:pPr>
            <w:r>
              <w:rPr>
                <w:color w:val="000000"/>
                <w:sz w:val="20"/>
                <w:lang w:eastAsia="en-US"/>
              </w:rPr>
              <w:t>For 3GPP internal evaluation, the target for coverage is to be determined by RAN</w:t>
            </w:r>
          </w:p>
          <w:p w14:paraId="7B9B125E" w14:textId="77777777" w:rsidR="00C41F5F" w:rsidRDefault="00832B23">
            <w:pPr>
              <w:numPr>
                <w:ilvl w:val="2"/>
                <w:numId w:val="15"/>
              </w:numPr>
              <w:spacing w:before="120" w:after="120" w:line="240" w:lineRule="auto"/>
              <w:rPr>
                <w:color w:val="000000"/>
                <w:sz w:val="20"/>
                <w:lang w:eastAsia="en-US"/>
              </w:rPr>
            </w:pPr>
            <w:r>
              <w:rPr>
                <w:color w:val="000000"/>
                <w:sz w:val="20"/>
                <w:lang w:eastAsia="en-US"/>
              </w:rPr>
              <w:t>FFS: Exact coverage target value(s)</w:t>
            </w:r>
          </w:p>
          <w:p w14:paraId="071C9A96" w14:textId="77777777" w:rsidR="00C41F5F" w:rsidRDefault="00832B23">
            <w:pPr>
              <w:numPr>
                <w:ilvl w:val="2"/>
                <w:numId w:val="15"/>
              </w:numPr>
              <w:spacing w:before="120" w:after="120" w:line="240" w:lineRule="auto"/>
              <w:rPr>
                <w:sz w:val="20"/>
              </w:rPr>
            </w:pPr>
            <w:r>
              <w:rPr>
                <w:color w:val="000000"/>
                <w:sz w:val="20"/>
                <w:lang w:eastAsia="en-US"/>
              </w:rPr>
              <w:t>FFS: Additional details considering control/data channel</w:t>
            </w:r>
          </w:p>
        </w:tc>
      </w:tr>
    </w:tbl>
    <w:p w14:paraId="17C961AE" w14:textId="77777777" w:rsidR="00C41F5F" w:rsidRDefault="00832B23">
      <w:pPr>
        <w:pStyle w:val="2"/>
        <w:keepNext w:val="0"/>
        <w:keepLines w:val="0"/>
        <w:numPr>
          <w:ilvl w:val="1"/>
          <w:numId w:val="1"/>
        </w:numPr>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b/>
          <w:bCs/>
          <w:sz w:val="24"/>
          <w:szCs w:val="24"/>
        </w:rPr>
        <w:t>Discussion on the metric and initial analysis on the 6GR coverage</w:t>
      </w:r>
    </w:p>
    <w:p w14:paraId="23B506E9" w14:textId="77777777" w:rsidR="00C41F5F" w:rsidRDefault="00832B23">
      <w:pPr>
        <w:numPr>
          <w:ilvl w:val="255"/>
          <w:numId w:val="0"/>
        </w:numPr>
        <w:overflowPunct w:val="0"/>
        <w:autoSpaceDE w:val="0"/>
        <w:autoSpaceDN w:val="0"/>
        <w:adjustRightInd w:val="0"/>
        <w:snapToGrid w:val="0"/>
        <w:spacing w:before="120" w:after="120"/>
        <w:textAlignment w:val="baseline"/>
        <w:rPr>
          <w:sz w:val="20"/>
        </w:rPr>
      </w:pPr>
      <w:r>
        <w:rPr>
          <w:sz w:val="20"/>
        </w:rPr>
        <w:t xml:space="preserve">Link budget analysis </w:t>
      </w:r>
      <w:r>
        <w:rPr>
          <w:rFonts w:hint="eastAsia"/>
          <w:sz w:val="20"/>
        </w:rPr>
        <w:t>is</w:t>
      </w:r>
      <w:r>
        <w:rPr>
          <w:sz w:val="20"/>
        </w:rPr>
        <w:t xml:space="preserve"> a fundamental methodology for coverage evaluation, which is agreed to be used for IMT2030 TPR analysis for coverage. Regarding the pending metric for target definition, as agreed in RAN1#122-bis, different metrics have been proposed with </w:t>
      </w:r>
      <w:r>
        <w:rPr>
          <w:sz w:val="20"/>
        </w:rPr>
        <w:t xml:space="preserve">the </w:t>
      </w:r>
      <w:r>
        <w:rPr>
          <w:sz w:val="20"/>
        </w:rPr>
        <w:t>corresponding</w:t>
      </w:r>
      <w:r>
        <w:rPr>
          <w:sz w:val="20"/>
        </w:rPr>
        <w:t xml:space="preserve"> template as</w:t>
      </w:r>
      <w:r>
        <w:rPr>
          <w:sz w:val="20"/>
        </w:rPr>
        <w:t xml:space="preserve"> shown</w:t>
      </w:r>
      <w:r>
        <w:rPr>
          <w:sz w:val="20"/>
        </w:rPr>
        <w:t xml:space="preserve"> below:</w:t>
      </w:r>
    </w:p>
    <w:p w14:paraId="72D6E30C" w14:textId="77777777" w:rsidR="00C41F5F" w:rsidRDefault="00832B23">
      <w:pPr>
        <w:numPr>
          <w:ilvl w:val="255"/>
          <w:numId w:val="0"/>
        </w:numPr>
        <w:overflowPunct w:val="0"/>
        <w:autoSpaceDE w:val="0"/>
        <w:autoSpaceDN w:val="0"/>
        <w:adjustRightInd w:val="0"/>
        <w:snapToGrid w:val="0"/>
        <w:spacing w:before="120" w:after="120"/>
        <w:textAlignment w:val="baseline"/>
        <w:rPr>
          <w:sz w:val="20"/>
          <w:lang w:eastAsia="ko-KR"/>
        </w:rPr>
      </w:pPr>
      <w:r>
        <w:rPr>
          <w:noProof/>
          <w:sz w:val="20"/>
        </w:rPr>
        <mc:AlternateContent>
          <mc:Choice Requires="wps">
            <w:drawing>
              <wp:inline distT="0" distB="0" distL="0" distR="0" wp14:anchorId="13128E15" wp14:editId="49E16B5C">
                <wp:extent cx="6074410" cy="1404620"/>
                <wp:effectExtent l="0" t="0" r="2159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1404620"/>
                        </a:xfrm>
                        <a:prstGeom prst="rect">
                          <a:avLst/>
                        </a:prstGeom>
                        <a:solidFill>
                          <a:srgbClr val="FFFFFF"/>
                        </a:solidFill>
                        <a:ln w="9525">
                          <a:solidFill>
                            <a:srgbClr val="000000"/>
                          </a:solidFill>
                          <a:miter lim="800000"/>
                        </a:ln>
                      </wps:spPr>
                      <wps:txbx>
                        <w:txbxContent>
                          <w:p w14:paraId="3572DBEC" w14:textId="77777777" w:rsidR="00C41F5F" w:rsidRDefault="00832B23">
                            <w:pPr>
                              <w:numPr>
                                <w:ilvl w:val="255"/>
                                <w:numId w:val="0"/>
                              </w:numPr>
                              <w:overflowPunct w:val="0"/>
                              <w:autoSpaceDE w:val="0"/>
                              <w:autoSpaceDN w:val="0"/>
                              <w:adjustRightInd w:val="0"/>
                              <w:snapToGrid w:val="0"/>
                              <w:spacing w:before="120" w:after="120" w:line="240" w:lineRule="auto"/>
                              <w:textAlignment w:val="baseline"/>
                              <w:rPr>
                                <w:sz w:val="20"/>
                              </w:rPr>
                            </w:pPr>
                            <w:r>
                              <w:rPr>
                                <w:sz w:val="20"/>
                              </w:rPr>
                              <w:t>MCL(Defined in TR 38.913) = Total transmit power – Receiver sensitivity</w:t>
                            </w:r>
                          </w:p>
                          <w:p w14:paraId="126BAB14" w14:textId="77777777" w:rsidR="00C41F5F" w:rsidRDefault="00832B23">
                            <w:pPr>
                              <w:numPr>
                                <w:ilvl w:val="255"/>
                                <w:numId w:val="0"/>
                              </w:numPr>
                              <w:overflowPunct w:val="0"/>
                              <w:autoSpaceDE w:val="0"/>
                              <w:autoSpaceDN w:val="0"/>
                              <w:adjustRightInd w:val="0"/>
                              <w:snapToGrid w:val="0"/>
                              <w:spacing w:before="120" w:after="120" w:line="240" w:lineRule="auto"/>
                              <w:textAlignment w:val="baseline"/>
                              <w:rPr>
                                <w:sz w:val="20"/>
                              </w:rPr>
                            </w:pPr>
                            <w:r>
                              <w:rPr>
                                <w:sz w:val="20"/>
                              </w:rPr>
                              <w:t>MCL(Defined in TR 38.830) = Total transmit power – Receiver sensitivity + gNB antenna gain (component 2)</w:t>
                            </w:r>
                          </w:p>
                          <w:p w14:paraId="478ED689" w14:textId="77777777" w:rsidR="00C41F5F" w:rsidRDefault="00832B23">
                            <w:pPr>
                              <w:numPr>
                                <w:ilvl w:val="255"/>
                                <w:numId w:val="0"/>
                              </w:numPr>
                              <w:overflowPunct w:val="0"/>
                              <w:autoSpaceDE w:val="0"/>
                              <w:autoSpaceDN w:val="0"/>
                              <w:adjustRightInd w:val="0"/>
                              <w:snapToGrid w:val="0"/>
                              <w:spacing w:before="120" w:after="120" w:line="240" w:lineRule="auto"/>
                              <w:textAlignment w:val="baseline"/>
                              <w:rPr>
                                <w:sz w:val="20"/>
                              </w:rPr>
                            </w:pPr>
                            <w:r>
                              <w:rPr>
                                <w:sz w:val="20"/>
                              </w:rPr>
                              <w:t>MIL(Defined in TR 38.830) = Total transmit power –</w:t>
                            </w:r>
                            <w:r>
                              <w:rPr>
                                <w:sz w:val="20"/>
                              </w:rPr>
                              <w:t xml:space="preserve"> Receiver sensitivity – Tx loss – Rx loss + gNB antenna gain(component 2 + 3 + 4) + UE antenna gain.</w:t>
                            </w:r>
                          </w:p>
                          <w:p w14:paraId="4DC92F6B" w14:textId="77777777" w:rsidR="00C41F5F" w:rsidRDefault="00832B23">
                            <w:pPr>
                              <w:numPr>
                                <w:ilvl w:val="255"/>
                                <w:numId w:val="0"/>
                              </w:numPr>
                              <w:overflowPunct w:val="0"/>
                              <w:autoSpaceDE w:val="0"/>
                              <w:autoSpaceDN w:val="0"/>
                              <w:adjustRightInd w:val="0"/>
                              <w:snapToGrid w:val="0"/>
                              <w:spacing w:before="120" w:after="120" w:line="240" w:lineRule="auto"/>
                              <w:textAlignment w:val="baseline"/>
                              <w:rPr>
                                <w:sz w:val="20"/>
                              </w:rPr>
                            </w:pPr>
                            <w:r>
                              <w:rPr>
                                <w:sz w:val="20"/>
                              </w:rPr>
                              <w:t>MPL(Defined in TR 38.830) = MIL – Shadow fading margin + BS selection/macro-diversity gain – Penetration margin + Other gains</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文本框 2" o:spid="_x0000_s1026" o:spt="202" type="#_x0000_t202" style="height:110.6pt;width:478.3pt;" fillcolor="#FFFFFF" filled="t" stroked="t" coordsize="21600,21600" o:gfxdata="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UndmdUAAAAFAQAADwAAAAAAAAABACAAAAAiAAAAZHJzL2Rv&#10;d25yZXYueG1sUEsBAhQAFAAAAAgAh07iQOG3Rbc9AgAAfgQAAA4AAAAAAAAAAQAgAAAAJAEAAGRy&#10;cy9lMm9Eb2MueG1sUEsFBgAAAAAGAAYAWQEAANMFAAAAAA==&#10;">
                <v:fill on="t" focussize="0,0"/>
                <v:stroke color="#000000" miterlimit="8" joinstyle="miter"/>
                <v:imagedata o:title=""/>
                <o:lock v:ext="edit" aspectratio="f"/>
                <v:textbox style="mso-fit-shape-to-text:t;">
                  <w:txbxContent>
                    <w:p>
                      <w:pPr>
                        <w:numPr>
                          <w:ilvl w:val="255"/>
                          <w:numId w:val="0"/>
                        </w:numPr>
                        <w:overflowPunct w:val="0"/>
                        <w:autoSpaceDE w:val="0"/>
                        <w:autoSpaceDN w:val="0"/>
                        <w:adjustRightInd w:val="0"/>
                        <w:snapToGrid w:val="0"/>
                        <w:spacing w:before="120" w:after="120" w:line="240" w:lineRule="auto"/>
                        <w:textAlignment w:val="baseline"/>
                        <w:rPr>
                          <w:sz w:val="20"/>
                        </w:rPr>
                      </w:pPr>
                      <w:r>
                        <w:rPr>
                          <w:sz w:val="20"/>
                        </w:rPr>
                        <w:t>MCL(Defined in TR 38.913) = Total transmit power – Receiver sensitivity</w:t>
                      </w:r>
                    </w:p>
                    <w:p>
                      <w:pPr>
                        <w:numPr>
                          <w:ilvl w:val="255"/>
                          <w:numId w:val="0"/>
                        </w:numPr>
                        <w:overflowPunct w:val="0"/>
                        <w:autoSpaceDE w:val="0"/>
                        <w:autoSpaceDN w:val="0"/>
                        <w:adjustRightInd w:val="0"/>
                        <w:snapToGrid w:val="0"/>
                        <w:spacing w:before="120" w:after="120" w:line="240" w:lineRule="auto"/>
                        <w:textAlignment w:val="baseline"/>
                        <w:rPr>
                          <w:sz w:val="20"/>
                        </w:rPr>
                      </w:pPr>
                      <w:r>
                        <w:rPr>
                          <w:sz w:val="20"/>
                        </w:rPr>
                        <w:t>MCL(Defined in TR 38.830) = Total transmit power – Receiver sensitivity + gNB antenna gain (component 2)</w:t>
                      </w:r>
                    </w:p>
                    <w:p>
                      <w:pPr>
                        <w:numPr>
                          <w:ilvl w:val="255"/>
                          <w:numId w:val="0"/>
                        </w:numPr>
                        <w:overflowPunct w:val="0"/>
                        <w:autoSpaceDE w:val="0"/>
                        <w:autoSpaceDN w:val="0"/>
                        <w:adjustRightInd w:val="0"/>
                        <w:snapToGrid w:val="0"/>
                        <w:spacing w:before="120" w:after="120" w:line="240" w:lineRule="auto"/>
                        <w:textAlignment w:val="baseline"/>
                        <w:rPr>
                          <w:sz w:val="20"/>
                        </w:rPr>
                      </w:pPr>
                      <w:r>
                        <w:rPr>
                          <w:sz w:val="20"/>
                        </w:rPr>
                        <w:t>MIL(Defined in TR 38.830) = Total transmit power – Receiver sensitivity – Tx loss – Rx loss + gNB antenna gain(component 2 + 3 + 4) + UE antenna gain.</w:t>
                      </w:r>
                    </w:p>
                    <w:p>
                      <w:pPr>
                        <w:numPr>
                          <w:ilvl w:val="255"/>
                          <w:numId w:val="0"/>
                        </w:numPr>
                        <w:overflowPunct w:val="0"/>
                        <w:autoSpaceDE w:val="0"/>
                        <w:autoSpaceDN w:val="0"/>
                        <w:adjustRightInd w:val="0"/>
                        <w:snapToGrid w:val="0"/>
                        <w:spacing w:before="120" w:after="120" w:line="240" w:lineRule="auto"/>
                        <w:textAlignment w:val="baseline"/>
                        <w:rPr>
                          <w:sz w:val="20"/>
                        </w:rPr>
                      </w:pPr>
                      <w:r>
                        <w:rPr>
                          <w:sz w:val="20"/>
                        </w:rPr>
                        <w:t>MPL(Defined in TR 38.830) = MIL – Shadow fading margin + BS selection/macro-diversity gain – Penetration margin + Other gains</w:t>
                      </w:r>
                    </w:p>
                  </w:txbxContent>
                </v:textbox>
                <w10:wrap type="none"/>
                <w10:anchorlock/>
              </v:shape>
            </w:pict>
          </mc:Fallback>
        </mc:AlternateContent>
      </w:r>
    </w:p>
    <w:p w14:paraId="3A2CFA0E" w14:textId="77777777" w:rsidR="00C41F5F" w:rsidRDefault="00832B23">
      <w:pPr>
        <w:numPr>
          <w:ilvl w:val="255"/>
          <w:numId w:val="0"/>
        </w:numPr>
        <w:overflowPunct w:val="0"/>
        <w:autoSpaceDE w:val="0"/>
        <w:autoSpaceDN w:val="0"/>
        <w:adjustRightInd w:val="0"/>
        <w:snapToGrid w:val="0"/>
        <w:spacing w:before="120" w:after="120"/>
        <w:textAlignment w:val="baseline"/>
        <w:rPr>
          <w:sz w:val="20"/>
        </w:rPr>
      </w:pPr>
      <w:r>
        <w:rPr>
          <w:sz w:val="20"/>
        </w:rPr>
        <w:t xml:space="preserve">Based on the above, the key </w:t>
      </w:r>
      <w:r>
        <w:rPr>
          <w:sz w:val="20"/>
        </w:rPr>
        <w:t>distinctio</w:t>
      </w:r>
      <w:r>
        <w:rPr>
          <w:sz w:val="20"/>
        </w:rPr>
        <w:t xml:space="preserve">ns among these three metrics are </w:t>
      </w:r>
      <w:r>
        <w:rPr>
          <w:rFonts w:hint="eastAsia"/>
          <w:sz w:val="20"/>
        </w:rPr>
        <w:t>sum</w:t>
      </w:r>
      <w:r>
        <w:rPr>
          <w:sz w:val="20"/>
        </w:rPr>
        <w:t>marized below:</w:t>
      </w:r>
    </w:p>
    <w:p w14:paraId="6A81D149" w14:textId="76EDB6B7" w:rsidR="00C41F5F" w:rsidRDefault="00832B23">
      <w:pPr>
        <w:numPr>
          <w:ilvl w:val="0"/>
          <w:numId w:val="16"/>
        </w:numPr>
        <w:spacing w:before="120" w:after="120"/>
        <w:rPr>
          <w:b/>
          <w:bCs/>
          <w:iCs/>
          <w:sz w:val="20"/>
          <w:lang w:eastAsia="ko-KR"/>
        </w:rPr>
      </w:pPr>
      <w:r>
        <w:rPr>
          <w:b/>
          <w:bCs/>
          <w:iCs/>
          <w:sz w:val="20"/>
          <w:lang w:eastAsia="ko-KR"/>
        </w:rPr>
        <w:t xml:space="preserve">MCL: </w:t>
      </w:r>
      <w:r>
        <w:rPr>
          <w:bCs/>
          <w:iCs/>
          <w:sz w:val="20"/>
          <w:lang w:eastAsia="ko-KR"/>
        </w:rPr>
        <w:t xml:space="preserve">This metric has been </w:t>
      </w:r>
      <w:r>
        <w:rPr>
          <w:rFonts w:hint="eastAsia"/>
          <w:bCs/>
          <w:iCs/>
          <w:sz w:val="20"/>
        </w:rPr>
        <w:t>widely</w:t>
      </w:r>
      <w:r>
        <w:rPr>
          <w:bCs/>
          <w:iCs/>
          <w:sz w:val="20"/>
          <w:lang w:eastAsia="ko-KR"/>
        </w:rPr>
        <w:t xml:space="preserve"> used in past release to define and compare the </w:t>
      </w:r>
      <w:r>
        <w:rPr>
          <w:bCs/>
          <w:iCs/>
          <w:sz w:val="20"/>
          <w:lang w:eastAsia="ko-KR"/>
        </w:rPr>
        <w:t xml:space="preserve">coverage </w:t>
      </w:r>
      <w:r>
        <w:rPr>
          <w:bCs/>
          <w:iCs/>
          <w:sz w:val="20"/>
          <w:lang w:eastAsia="ko-KR"/>
        </w:rPr>
        <w:t xml:space="preserve">target </w:t>
      </w:r>
      <w:r>
        <w:rPr>
          <w:bCs/>
          <w:iCs/>
          <w:sz w:val="20"/>
          <w:lang w:eastAsia="ko-KR"/>
        </w:rPr>
        <w:t xml:space="preserve">for various cases without touching the detailed hardware implementation and impairments at both UE and BS side. In the 6G discussion, the same principle can be still </w:t>
      </w:r>
      <w:r>
        <w:rPr>
          <w:rFonts w:hint="eastAsia"/>
          <w:bCs/>
          <w:iCs/>
          <w:sz w:val="20"/>
        </w:rPr>
        <w:t>adopted</w:t>
      </w:r>
      <w:r>
        <w:rPr>
          <w:bCs/>
          <w:iCs/>
          <w:sz w:val="20"/>
        </w:rPr>
        <w:t xml:space="preserve"> to access the performance for various device type and difference between 5G and 6G</w:t>
      </w:r>
      <w:r>
        <w:rPr>
          <w:bCs/>
          <w:iCs/>
          <w:sz w:val="20"/>
          <w:lang w:eastAsia="ko-KR"/>
        </w:rPr>
        <w:t>. Additionally, regarding the difference between two definitions, the partially captured antenna gain in TR 38.830 requires more aligned assumption on the antenna layout definition and transmission schemes, even cross different serivces (e.g., IoT vs. eMBB</w:t>
      </w:r>
      <w:r>
        <w:rPr>
          <w:bCs/>
          <w:iCs/>
          <w:sz w:val="20"/>
          <w:lang w:eastAsia="ko-KR"/>
        </w:rPr>
        <w:t xml:space="preserve">, and TN vs. NTN), which is still premature. </w:t>
      </w:r>
    </w:p>
    <w:p w14:paraId="1146D46F" w14:textId="77777777" w:rsidR="00C41F5F" w:rsidRDefault="00832B23">
      <w:pPr>
        <w:numPr>
          <w:ilvl w:val="0"/>
          <w:numId w:val="16"/>
        </w:numPr>
        <w:spacing w:before="120" w:after="120"/>
        <w:rPr>
          <w:bCs/>
          <w:iCs/>
          <w:sz w:val="20"/>
          <w:lang w:eastAsia="ko-KR"/>
        </w:rPr>
      </w:pPr>
      <w:r>
        <w:rPr>
          <w:b/>
          <w:bCs/>
          <w:iCs/>
          <w:sz w:val="20"/>
          <w:lang w:eastAsia="ko-KR"/>
        </w:rPr>
        <w:t>MIL</w:t>
      </w:r>
      <w:r>
        <w:rPr>
          <w:bCs/>
          <w:iCs/>
          <w:sz w:val="20"/>
          <w:lang w:eastAsia="ko-KR"/>
        </w:rPr>
        <w:t xml:space="preserve">: For this </w:t>
      </w:r>
      <w:r>
        <w:rPr>
          <w:rFonts w:hint="eastAsia"/>
          <w:bCs/>
          <w:iCs/>
          <w:sz w:val="20"/>
        </w:rPr>
        <w:t>metric</w:t>
      </w:r>
      <w:r>
        <w:rPr>
          <w:bCs/>
          <w:iCs/>
          <w:sz w:val="20"/>
          <w:lang w:eastAsia="ko-KR"/>
        </w:rPr>
        <w:t xml:space="preserve">, the additionally actual hardware impairments, i.e., transmit losses, receive losses, and </w:t>
      </w:r>
      <w:r>
        <w:rPr>
          <w:rFonts w:hint="eastAsia"/>
          <w:bCs/>
          <w:iCs/>
          <w:sz w:val="20"/>
          <w:lang w:eastAsia="ko-KR"/>
        </w:rPr>
        <w:t>UE</w:t>
      </w:r>
      <w:r>
        <w:rPr>
          <w:bCs/>
          <w:iCs/>
          <w:sz w:val="20"/>
          <w:lang w:eastAsia="ko-KR"/>
        </w:rPr>
        <w:t xml:space="preserve"> antenna gain, are required. However, without clear understanding on the 6G RF requirements, it’s</w:t>
      </w:r>
      <w:r>
        <w:rPr>
          <w:bCs/>
          <w:iCs/>
          <w:sz w:val="20"/>
          <w:lang w:eastAsia="ko-KR"/>
        </w:rPr>
        <w:t xml:space="preserve"> hard to take it as the baseline for comparison, especially among the cases with different implementation.</w:t>
      </w:r>
    </w:p>
    <w:p w14:paraId="655063EA" w14:textId="18878F7B" w:rsidR="00C41F5F" w:rsidRDefault="00832B23">
      <w:pPr>
        <w:numPr>
          <w:ilvl w:val="0"/>
          <w:numId w:val="16"/>
        </w:numPr>
        <w:spacing w:before="120" w:after="120"/>
        <w:rPr>
          <w:bCs/>
          <w:iCs/>
          <w:sz w:val="20"/>
          <w:lang w:eastAsia="ko-KR"/>
        </w:rPr>
      </w:pPr>
      <w:r>
        <w:rPr>
          <w:b/>
          <w:bCs/>
          <w:iCs/>
          <w:sz w:val="20"/>
          <w:lang w:eastAsia="ko-KR"/>
        </w:rPr>
        <w:lastRenderedPageBreak/>
        <w:t>MPL</w:t>
      </w:r>
      <w:r>
        <w:rPr>
          <w:bCs/>
          <w:iCs/>
          <w:sz w:val="20"/>
          <w:lang w:eastAsia="ko-KR"/>
        </w:rPr>
        <w:t>: On top of</w:t>
      </w:r>
      <w:r>
        <w:rPr>
          <w:bCs/>
          <w:iCs/>
          <w:sz w:val="20"/>
          <w:lang w:eastAsia="ko-KR"/>
        </w:rPr>
        <w:t xml:space="preserve"> </w:t>
      </w:r>
      <w:r>
        <w:rPr>
          <w:bCs/>
          <w:iCs/>
          <w:sz w:val="20"/>
          <w:lang w:eastAsia="ko-KR"/>
        </w:rPr>
        <w:t xml:space="preserve">MIL, more detailed assumptions on the </w:t>
      </w:r>
      <w:r>
        <w:rPr>
          <w:rFonts w:hint="eastAsia"/>
          <w:bCs/>
          <w:iCs/>
          <w:sz w:val="20"/>
        </w:rPr>
        <w:t>impacts</w:t>
      </w:r>
      <w:r>
        <w:rPr>
          <w:bCs/>
          <w:iCs/>
          <w:sz w:val="20"/>
          <w:lang w:eastAsia="ko-KR"/>
        </w:rPr>
        <w:t xml:space="preserve"> of </w:t>
      </w:r>
      <w:r>
        <w:rPr>
          <w:rFonts w:hint="eastAsia"/>
          <w:bCs/>
          <w:iCs/>
          <w:sz w:val="20"/>
        </w:rPr>
        <w:t>propagation</w:t>
      </w:r>
      <w:r>
        <w:rPr>
          <w:bCs/>
          <w:iCs/>
          <w:sz w:val="20"/>
          <w:lang w:eastAsia="ko-KR"/>
        </w:rPr>
        <w:t xml:space="preserve"> channel are required to reflect the “potential applicable deployment”</w:t>
      </w:r>
      <w:r>
        <w:rPr>
          <w:bCs/>
          <w:iCs/>
          <w:sz w:val="20"/>
          <w:lang w:eastAsia="ko-KR"/>
        </w:rPr>
        <w:t xml:space="preserve">, e.g., to </w:t>
      </w:r>
      <w:r>
        <w:rPr>
          <w:rFonts w:hint="eastAsia"/>
          <w:bCs/>
          <w:iCs/>
          <w:sz w:val="20"/>
        </w:rPr>
        <w:t>derive</w:t>
      </w:r>
      <w:r>
        <w:rPr>
          <w:bCs/>
          <w:iCs/>
          <w:sz w:val="20"/>
          <w:lang w:eastAsia="ko-KR"/>
        </w:rPr>
        <w:t xml:space="preserve"> the coverage range. However, taking this as the baseline will further lead to mis-interpretation and comparison of the “</w:t>
      </w:r>
      <w:r>
        <w:rPr>
          <w:rFonts w:hint="eastAsia"/>
          <w:bCs/>
          <w:iCs/>
          <w:sz w:val="20"/>
        </w:rPr>
        <w:t>achievable</w:t>
      </w:r>
      <w:r>
        <w:rPr>
          <w:bCs/>
          <w:iCs/>
          <w:sz w:val="20"/>
          <w:lang w:eastAsia="ko-KR"/>
        </w:rPr>
        <w:t xml:space="preserve"> </w:t>
      </w:r>
      <w:r>
        <w:rPr>
          <w:rFonts w:hint="eastAsia"/>
          <w:bCs/>
          <w:iCs/>
          <w:sz w:val="20"/>
        </w:rPr>
        <w:t>cov</w:t>
      </w:r>
      <w:r>
        <w:rPr>
          <w:bCs/>
          <w:iCs/>
          <w:sz w:val="20"/>
        </w:rPr>
        <w:t>erage</w:t>
      </w:r>
      <w:r>
        <w:rPr>
          <w:bCs/>
          <w:iCs/>
          <w:sz w:val="20"/>
          <w:lang w:eastAsia="ko-KR"/>
        </w:rPr>
        <w:t xml:space="preserve">” </w:t>
      </w:r>
      <w:r>
        <w:rPr>
          <w:bCs/>
          <w:iCs/>
          <w:sz w:val="20"/>
          <w:lang w:eastAsia="ko-KR"/>
        </w:rPr>
        <w:t>a</w:t>
      </w:r>
      <w:r>
        <w:rPr>
          <w:bCs/>
          <w:iCs/>
          <w:sz w:val="20"/>
          <w:lang w:eastAsia="ko-KR"/>
        </w:rPr>
        <w:t xml:space="preserve">cross different use cases and deployment.  </w:t>
      </w:r>
    </w:p>
    <w:p w14:paraId="5815EDAF" w14:textId="78C31FE2" w:rsidR="00C41F5F" w:rsidRDefault="00832B23">
      <w:pPr>
        <w:spacing w:before="120" w:after="120"/>
        <w:rPr>
          <w:sz w:val="20"/>
        </w:rPr>
      </w:pPr>
      <w:r>
        <w:rPr>
          <w:sz w:val="20"/>
        </w:rPr>
        <w:t>B</w:t>
      </w:r>
      <w:r>
        <w:rPr>
          <w:sz w:val="20"/>
        </w:rPr>
        <w:t xml:space="preserve">ased on </w:t>
      </w:r>
      <w:r>
        <w:rPr>
          <w:sz w:val="20"/>
        </w:rPr>
        <w:t>th</w:t>
      </w:r>
      <w:r>
        <w:rPr>
          <w:sz w:val="20"/>
        </w:rPr>
        <w:t xml:space="preserve">e </w:t>
      </w:r>
      <w:r>
        <w:rPr>
          <w:sz w:val="20"/>
        </w:rPr>
        <w:t xml:space="preserve">above analysis, </w:t>
      </w:r>
      <w:r>
        <w:rPr>
          <w:sz w:val="20"/>
        </w:rPr>
        <w:t>MCL defined in TR 3</w:t>
      </w:r>
      <w:r>
        <w:rPr>
          <w:sz w:val="20"/>
        </w:rPr>
        <w:t xml:space="preserve">8.913 is preferred to define the coverage </w:t>
      </w:r>
      <w:r>
        <w:rPr>
          <w:sz w:val="20"/>
        </w:rPr>
        <w:t xml:space="preserve">target </w:t>
      </w:r>
      <w:r>
        <w:rPr>
          <w:sz w:val="20"/>
        </w:rPr>
        <w:t xml:space="preserve">in RAN-level to enable </w:t>
      </w:r>
      <w:r>
        <w:rPr>
          <w:rFonts w:hint="eastAsia"/>
          <w:sz w:val="20"/>
        </w:rPr>
        <w:t>easier</w:t>
      </w:r>
      <w:r>
        <w:rPr>
          <w:sz w:val="20"/>
        </w:rPr>
        <w:t xml:space="preserve"> </w:t>
      </w:r>
      <w:r>
        <w:rPr>
          <w:rFonts w:hint="eastAsia"/>
          <w:sz w:val="20"/>
        </w:rPr>
        <w:t>comparison</w:t>
      </w:r>
      <w:r>
        <w:rPr>
          <w:sz w:val="20"/>
        </w:rPr>
        <w:t xml:space="preserve"> and alignement.</w:t>
      </w:r>
    </w:p>
    <w:p w14:paraId="5C4C3F12" w14:textId="6ED36E65" w:rsidR="00C41F5F" w:rsidRDefault="00832B23">
      <w:pPr>
        <w:spacing w:before="120" w:after="120"/>
        <w:rPr>
          <w:sz w:val="20"/>
        </w:rPr>
      </w:pPr>
      <w:r>
        <w:rPr>
          <w:sz w:val="20"/>
        </w:rPr>
        <w:t xml:space="preserve">Additionally, in the last meeting, some companies concerned about how to </w:t>
      </w:r>
      <w:r>
        <w:rPr>
          <w:rFonts w:hint="eastAsia"/>
          <w:sz w:val="20"/>
        </w:rPr>
        <w:t>quantize</w:t>
      </w:r>
      <w:r>
        <w:rPr>
          <w:sz w:val="20"/>
        </w:rPr>
        <w:t xml:space="preserve"> the coverage for RS, e.g., SSB/Msg-1</w:t>
      </w:r>
      <w:r>
        <w:rPr>
          <w:sz w:val="20"/>
        </w:rPr>
        <w:t xml:space="preserve">. </w:t>
      </w:r>
      <w:r>
        <w:rPr>
          <w:sz w:val="20"/>
        </w:rPr>
        <w:t xml:space="preserve">For </w:t>
      </w:r>
      <w:r>
        <w:rPr>
          <w:sz w:val="20"/>
        </w:rPr>
        <w:t xml:space="preserve">these </w:t>
      </w:r>
      <w:r>
        <w:rPr>
          <w:sz w:val="20"/>
        </w:rPr>
        <w:t>cases, MCL with required SINR for detection can be applied. And for Data/Control, MCL with required SINR for decoding@Throughtput/Payload size should be adopted.</w:t>
      </w:r>
    </w:p>
    <w:p w14:paraId="741C6FFA" w14:textId="77777777" w:rsidR="00C41F5F" w:rsidRDefault="00832B23">
      <w:pPr>
        <w:spacing w:before="120" w:after="120"/>
        <w:rPr>
          <w:i/>
          <w:iCs/>
          <w:sz w:val="20"/>
        </w:rPr>
      </w:pPr>
      <w:r>
        <w:rPr>
          <w:b/>
          <w:i/>
          <w:sz w:val="20"/>
        </w:rPr>
        <w:t xml:space="preserve">Proposal 4-1: </w:t>
      </w:r>
      <w:r>
        <w:rPr>
          <w:i/>
          <w:iCs/>
          <w:sz w:val="20"/>
        </w:rPr>
        <w:t>Adopt MCL as defined in TR38.913 as the metric to define the target for 6GR cove</w:t>
      </w:r>
      <w:r>
        <w:rPr>
          <w:i/>
          <w:iCs/>
          <w:sz w:val="20"/>
        </w:rPr>
        <w:t>rage</w:t>
      </w:r>
      <w:r>
        <w:rPr>
          <w:rFonts w:hint="eastAsia"/>
          <w:i/>
          <w:iCs/>
          <w:sz w:val="20"/>
        </w:rPr>
        <w:t>.</w:t>
      </w:r>
    </w:p>
    <w:p w14:paraId="0200ACE1" w14:textId="403F1034" w:rsidR="00C41F5F" w:rsidRDefault="00832B23">
      <w:pPr>
        <w:pStyle w:val="af9"/>
        <w:numPr>
          <w:ilvl w:val="0"/>
          <w:numId w:val="17"/>
        </w:numPr>
        <w:spacing w:before="120" w:after="120"/>
        <w:rPr>
          <w:i/>
          <w:iCs/>
          <w:sz w:val="20"/>
        </w:rPr>
      </w:pPr>
      <w:r>
        <w:rPr>
          <w:i/>
          <w:iCs/>
          <w:sz w:val="20"/>
        </w:rPr>
        <w:t xml:space="preserve">MCL with same performance target (e.g., throughtput) is assumed as the metric for </w:t>
      </w:r>
      <w:r>
        <w:rPr>
          <w:i/>
          <w:iCs/>
          <w:sz w:val="20"/>
        </w:rPr>
        <w:t xml:space="preserve">coverage </w:t>
      </w:r>
      <w:r>
        <w:rPr>
          <w:i/>
          <w:iCs/>
          <w:sz w:val="20"/>
        </w:rPr>
        <w:t>comparison between 5G and 6G.</w:t>
      </w:r>
    </w:p>
    <w:p w14:paraId="6EF4EC4E" w14:textId="70B60E3A" w:rsidR="00C41F5F" w:rsidRDefault="00832B23">
      <w:pPr>
        <w:spacing w:before="120" w:after="120"/>
        <w:rPr>
          <w:sz w:val="20"/>
        </w:rPr>
      </w:pPr>
      <w:r>
        <w:t>Regarding the analysis on the “</w:t>
      </w:r>
      <w:r>
        <w:rPr>
          <w:rFonts w:hint="eastAsia"/>
        </w:rPr>
        <w:t>achievable</w:t>
      </w:r>
      <w:r>
        <w:t xml:space="preserve"> coverage” based on the proposed metric above (e.g., MCL@ throughtput), it’s obv</w:t>
      </w:r>
      <w:r>
        <w:t xml:space="preserve">ious that comparable coverage can be achieved between mid-band and around 7GHz if </w:t>
      </w:r>
      <w:r>
        <w:t xml:space="preserve">the </w:t>
      </w:r>
      <w:r>
        <w:t xml:space="preserve">same required SNR can be ensured for target channel/RS design, which will be </w:t>
      </w:r>
      <w:r>
        <w:rPr>
          <w:rFonts w:hint="eastAsia"/>
        </w:rPr>
        <w:t>guaranteed</w:t>
      </w:r>
      <w:r>
        <w:t xml:space="preserve"> by better design in 6G.</w:t>
      </w:r>
      <w:r>
        <w:t xml:space="preserve"> </w:t>
      </w:r>
      <w:r>
        <w:rPr>
          <w:sz w:val="20"/>
          <w:lang w:eastAsia="ko-KR"/>
        </w:rPr>
        <w:t xml:space="preserve">Meanwhile, to ensure </w:t>
      </w:r>
      <w:r>
        <w:rPr>
          <w:sz w:val="20"/>
          <w:lang w:eastAsia="ko-KR"/>
        </w:rPr>
        <w:t xml:space="preserve">that </w:t>
      </w:r>
      <w:r>
        <w:rPr>
          <w:sz w:val="20"/>
          <w:lang w:eastAsia="ko-KR"/>
        </w:rPr>
        <w:t>6G can achieve better perfor</w:t>
      </w:r>
      <w:r>
        <w:rPr>
          <w:sz w:val="20"/>
          <w:lang w:eastAsia="ko-KR"/>
        </w:rPr>
        <w:t xml:space="preserve">mance, e.g., improved throuhgput for cell edge UE, e.g., at 5%, considering </w:t>
      </w:r>
      <w:r>
        <w:rPr>
          <w:rFonts w:hint="eastAsia"/>
          <w:sz w:val="20"/>
        </w:rPr>
        <w:t>additional</w:t>
      </w:r>
      <w:r>
        <w:rPr>
          <w:sz w:val="20"/>
        </w:rPr>
        <w:t xml:space="preserve"> loss in </w:t>
      </w:r>
      <w:r>
        <w:rPr>
          <w:rFonts w:hint="eastAsia"/>
          <w:sz w:val="20"/>
        </w:rPr>
        <w:t>propagation</w:t>
      </w:r>
      <w:r>
        <w:rPr>
          <w:sz w:val="20"/>
        </w:rPr>
        <w:t>, e.g.</w:t>
      </w:r>
      <w:r>
        <w:rPr>
          <w:sz w:val="20"/>
          <w:lang w:eastAsia="ko-KR"/>
        </w:rPr>
        <w:t xml:space="preserve">, </w:t>
      </w:r>
      <w:r>
        <w:rPr>
          <w:sz w:val="20"/>
        </w:rPr>
        <w:t>additional 6.02dB Path loss</w:t>
      </w:r>
      <w:r>
        <w:rPr>
          <w:rFonts w:hint="eastAsia"/>
          <w:sz w:val="20"/>
        </w:rPr>
        <w:t xml:space="preserve"> for 7GHz</w:t>
      </w:r>
      <w:r>
        <w:rPr>
          <w:sz w:val="20"/>
        </w:rPr>
        <w:t xml:space="preserve"> compared to 3.5GHz based on the UMa PL model in TR38.901</w:t>
      </w:r>
      <w:r>
        <w:rPr>
          <w:sz w:val="20"/>
        </w:rPr>
        <w:fldChar w:fldCharType="begin"/>
      </w:r>
      <w:r>
        <w:rPr>
          <w:sz w:val="20"/>
        </w:rPr>
        <w:instrText xml:space="preserve"> REF _Ref205728018 \r \h  \* MERGEFORMAT </w:instrText>
      </w:r>
      <w:r>
        <w:rPr>
          <w:sz w:val="20"/>
        </w:rPr>
      </w:r>
      <w:r>
        <w:rPr>
          <w:sz w:val="20"/>
        </w:rPr>
        <w:fldChar w:fldCharType="separate"/>
      </w:r>
      <w:r>
        <w:rPr>
          <w:sz w:val="20"/>
        </w:rPr>
        <w:t>[4]</w:t>
      </w:r>
      <w:r>
        <w:rPr>
          <w:sz w:val="20"/>
        </w:rPr>
        <w:fldChar w:fldCharType="end"/>
      </w:r>
      <w:r>
        <w:rPr>
          <w:sz w:val="20"/>
        </w:rPr>
        <w:t xml:space="preserve"> and penetration loss, additional enhancements should also be considered to ensure </w:t>
      </w:r>
      <w:r>
        <w:rPr>
          <w:sz w:val="20"/>
        </w:rPr>
        <w:t xml:space="preserve">coverage. </w:t>
      </w:r>
    </w:p>
    <w:p w14:paraId="451A71DC" w14:textId="134CB272" w:rsidR="00C41F5F" w:rsidRDefault="00832B23">
      <w:pPr>
        <w:spacing w:before="120" w:after="120"/>
        <w:rPr>
          <w:sz w:val="20"/>
        </w:rPr>
      </w:pPr>
      <w:r>
        <w:rPr>
          <w:b/>
          <w:i/>
          <w:sz w:val="20"/>
        </w:rPr>
        <w:t xml:space="preserve">Proposal 4-3: </w:t>
      </w:r>
      <w:r>
        <w:rPr>
          <w:i/>
          <w:sz w:val="20"/>
        </w:rPr>
        <w:t xml:space="preserve">Coverage mechanisms should be studied to </w:t>
      </w:r>
      <w:r>
        <w:rPr>
          <w:rFonts w:hint="eastAsia"/>
          <w:i/>
          <w:sz w:val="20"/>
        </w:rPr>
        <w:t>ensure</w:t>
      </w:r>
      <w:r>
        <w:rPr>
          <w:i/>
          <w:sz w:val="20"/>
        </w:rPr>
        <w:t xml:space="preserve"> the improved performance for </w:t>
      </w:r>
      <w:r>
        <w:rPr>
          <w:i/>
          <w:sz w:val="20"/>
        </w:rPr>
        <w:t>cell-edge UE</w:t>
      </w:r>
      <w:r>
        <w:rPr>
          <w:i/>
          <w:sz w:val="20"/>
        </w:rPr>
        <w:t>s</w:t>
      </w:r>
      <w:r>
        <w:rPr>
          <w:i/>
          <w:sz w:val="20"/>
        </w:rPr>
        <w:t xml:space="preserve">. </w:t>
      </w:r>
      <w:r>
        <w:rPr>
          <w:b/>
          <w:sz w:val="20"/>
        </w:rPr>
        <w:br/>
      </w:r>
    </w:p>
    <w:p w14:paraId="228EE9B4" w14:textId="77777777" w:rsidR="00C41F5F" w:rsidRDefault="00832B23">
      <w:pPr>
        <w:pStyle w:val="2"/>
        <w:keepNext w:val="0"/>
        <w:keepLines w:val="0"/>
        <w:numPr>
          <w:ilvl w:val="1"/>
          <w:numId w:val="1"/>
        </w:numPr>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High-level design consideration</w:t>
      </w:r>
    </w:p>
    <w:p w14:paraId="5FA85DA1" w14:textId="77777777" w:rsidR="00C41F5F" w:rsidRDefault="00832B23">
      <w:pPr>
        <w:spacing w:before="120" w:after="120" w:line="240" w:lineRule="auto"/>
        <w:rPr>
          <w:sz w:val="20"/>
        </w:rPr>
      </w:pPr>
      <w:r>
        <w:rPr>
          <w:sz w:val="20"/>
        </w:rPr>
        <w:t>T</w:t>
      </w:r>
      <w:r>
        <w:rPr>
          <w:sz w:val="20"/>
        </w:rPr>
        <w:t xml:space="preserve">o achieve the target mentioned above along with review of study in 5G NR, the following considerations are highlighted for the technical study on 6GR coverage: </w:t>
      </w:r>
    </w:p>
    <w:p w14:paraId="591CCF04" w14:textId="77777777" w:rsidR="00C41F5F" w:rsidRDefault="00832B23">
      <w:pPr>
        <w:numPr>
          <w:ilvl w:val="0"/>
          <w:numId w:val="18"/>
        </w:numPr>
        <w:tabs>
          <w:tab w:val="left" w:pos="720"/>
        </w:tabs>
        <w:spacing w:before="120" w:after="120" w:line="240" w:lineRule="auto"/>
        <w:rPr>
          <w:sz w:val="20"/>
        </w:rPr>
      </w:pPr>
      <w:r>
        <w:rPr>
          <w:b/>
          <w:sz w:val="20"/>
        </w:rPr>
        <w:t>Unified repetition solution across multiple c</w:t>
      </w:r>
      <w:r>
        <w:rPr>
          <w:b/>
          <w:sz w:val="20"/>
        </w:rPr>
        <w:t xml:space="preserve">hannels </w:t>
      </w:r>
    </w:p>
    <w:p w14:paraId="413EAB03" w14:textId="77777777" w:rsidR="00C41F5F" w:rsidRDefault="00832B23">
      <w:pPr>
        <w:tabs>
          <w:tab w:val="left" w:pos="360"/>
          <w:tab w:val="left" w:pos="720"/>
        </w:tabs>
        <w:spacing w:before="120" w:after="120" w:line="240" w:lineRule="auto"/>
        <w:ind w:left="360"/>
        <w:rPr>
          <w:sz w:val="20"/>
        </w:rPr>
      </w:pPr>
      <w:r>
        <w:rPr>
          <w:sz w:val="20"/>
        </w:rPr>
        <w:t xml:space="preserve">In NR, the study and standardization of coverage enhancement schemes are conducted in a per-channel approach. The reason is that with the introduction of coverage enhancement for some channels firstly, it will lead to the case that other channels </w:t>
      </w:r>
      <w:r>
        <w:rPr>
          <w:sz w:val="20"/>
        </w:rPr>
        <w:t>become new coverage bottlenecks. For example, discussions in NR have successively focused on PUSCH repetition, Msg3 repetition and Msg1 repetition.</w:t>
      </w:r>
    </w:p>
    <w:p w14:paraId="1C3374C6" w14:textId="77777777" w:rsidR="00C41F5F" w:rsidRDefault="00832B23">
      <w:pPr>
        <w:tabs>
          <w:tab w:val="left" w:pos="360"/>
          <w:tab w:val="left" w:pos="720"/>
        </w:tabs>
        <w:spacing w:before="120" w:after="120" w:line="240" w:lineRule="auto"/>
        <w:ind w:left="360"/>
        <w:rPr>
          <w:sz w:val="20"/>
        </w:rPr>
      </w:pPr>
      <w:r>
        <w:rPr>
          <w:sz w:val="20"/>
        </w:rPr>
        <w:t>Additionally, the per-channel approach to coverage enhancement in NR introduces certain challenges. For inst</w:t>
      </w:r>
      <w:r>
        <w:rPr>
          <w:sz w:val="20"/>
        </w:rPr>
        <w:t>ance, resource partitioning should be considered between different repetition factors, and when multiple channels require coverage enhancement, support of combination of features becomes necessary. So, the overall design is complicated with unexpected frag</w:t>
      </w:r>
      <w:r>
        <w:rPr>
          <w:sz w:val="20"/>
        </w:rPr>
        <w:t xml:space="preserve">ments and overhead. </w:t>
      </w:r>
    </w:p>
    <w:p w14:paraId="7D138BDE" w14:textId="77777777" w:rsidR="00C41F5F" w:rsidRDefault="00832B23">
      <w:pPr>
        <w:tabs>
          <w:tab w:val="left" w:pos="360"/>
          <w:tab w:val="left" w:pos="720"/>
        </w:tabs>
        <w:spacing w:before="120" w:after="120" w:line="240" w:lineRule="auto"/>
        <w:ind w:left="360"/>
        <w:rPr>
          <w:sz w:val="20"/>
        </w:rPr>
      </w:pPr>
      <w:r>
        <w:rPr>
          <w:sz w:val="20"/>
        </w:rPr>
        <w:t>Then, based on the lesson from NR, for 6GR, a unified, cross-channel joint coverage enhancement scheme should be prioritized to simplify protocol design and improve system performance. For example, the following aspects should be taken</w:t>
      </w:r>
      <w:r>
        <w:rPr>
          <w:sz w:val="20"/>
        </w:rPr>
        <w:t xml:space="preserve"> into consideration:</w:t>
      </w:r>
    </w:p>
    <w:p w14:paraId="71E9CFD6" w14:textId="77777777" w:rsidR="00C41F5F" w:rsidRDefault="00832B23">
      <w:pPr>
        <w:numPr>
          <w:ilvl w:val="0"/>
          <w:numId w:val="19"/>
        </w:numPr>
        <w:tabs>
          <w:tab w:val="left" w:pos="2160"/>
        </w:tabs>
        <w:spacing w:before="120" w:after="120" w:line="240" w:lineRule="auto"/>
        <w:rPr>
          <w:sz w:val="20"/>
        </w:rPr>
      </w:pPr>
      <w:r>
        <w:rPr>
          <w:bCs/>
          <w:sz w:val="20"/>
        </w:rPr>
        <w:t xml:space="preserve">Trigger/Request/condition </w:t>
      </w:r>
    </w:p>
    <w:p w14:paraId="31D73F40" w14:textId="77777777" w:rsidR="00C41F5F" w:rsidRDefault="00832B23">
      <w:pPr>
        <w:tabs>
          <w:tab w:val="left" w:pos="720"/>
          <w:tab w:val="left" w:pos="2160"/>
        </w:tabs>
        <w:spacing w:before="120" w:after="120" w:line="240" w:lineRule="auto"/>
        <w:ind w:left="720"/>
        <w:rPr>
          <w:sz w:val="20"/>
        </w:rPr>
      </w:pPr>
      <w:r>
        <w:rPr>
          <w:bCs/>
          <w:sz w:val="20"/>
        </w:rPr>
        <w:t xml:space="preserve">A single trigger/request/condition initiates the repetition of multiple channels which is the simplest solution to reduce signaling overhead. </w:t>
      </w:r>
    </w:p>
    <w:p w14:paraId="29A2537E" w14:textId="77777777" w:rsidR="00C41F5F" w:rsidRDefault="00832B23">
      <w:pPr>
        <w:numPr>
          <w:ilvl w:val="0"/>
          <w:numId w:val="19"/>
        </w:numPr>
        <w:tabs>
          <w:tab w:val="left" w:pos="750"/>
          <w:tab w:val="left" w:pos="2160"/>
        </w:tabs>
        <w:spacing w:before="120" w:after="120" w:line="240" w:lineRule="auto"/>
        <w:rPr>
          <w:bCs/>
          <w:sz w:val="20"/>
        </w:rPr>
      </w:pPr>
      <w:r>
        <w:rPr>
          <w:bCs/>
          <w:sz w:val="20"/>
        </w:rPr>
        <w:t xml:space="preserve">Repetition factors indication </w:t>
      </w:r>
    </w:p>
    <w:p w14:paraId="5369C910" w14:textId="6408F37F" w:rsidR="00C41F5F" w:rsidRDefault="00832B23">
      <w:pPr>
        <w:tabs>
          <w:tab w:val="left" w:pos="720"/>
          <w:tab w:val="left" w:pos="750"/>
          <w:tab w:val="left" w:pos="2160"/>
        </w:tabs>
        <w:spacing w:before="120" w:after="120" w:line="240" w:lineRule="auto"/>
        <w:ind w:left="720"/>
        <w:rPr>
          <w:bCs/>
          <w:sz w:val="20"/>
        </w:rPr>
      </w:pPr>
      <w:r>
        <w:rPr>
          <w:bCs/>
          <w:sz w:val="20"/>
        </w:rPr>
        <w:t xml:space="preserve">For </w:t>
      </w:r>
      <w:r>
        <w:rPr>
          <w:bCs/>
          <w:sz w:val="20"/>
        </w:rPr>
        <w:t>repetition factor indicati</w:t>
      </w:r>
      <w:r>
        <w:rPr>
          <w:bCs/>
          <w:sz w:val="20"/>
        </w:rPr>
        <w:t xml:space="preserve">on, as shown in </w:t>
      </w:r>
      <w:r>
        <w:rPr>
          <w:sz w:val="20"/>
        </w:rPr>
        <w:t>Figure 4-1</w:t>
      </w:r>
      <w:r>
        <w:rPr>
          <w:bCs/>
          <w:sz w:val="20"/>
        </w:rPr>
        <w:t>, it is worth exploring whether a single indication of a repetition factor pattern, encompassing the repetition factors for multiple channels, or leveraging preceding channels/signals to indicate the repetition factors of subseque</w:t>
      </w:r>
      <w:r>
        <w:rPr>
          <w:bCs/>
          <w:sz w:val="20"/>
        </w:rPr>
        <w:t xml:space="preserve">nt channels, could be effectively applied. </w:t>
      </w:r>
    </w:p>
    <w:p w14:paraId="1C533ECF" w14:textId="77777777" w:rsidR="00C41F5F" w:rsidRDefault="00832B23">
      <w:pPr>
        <w:keepNext/>
        <w:spacing w:before="120" w:after="120"/>
      </w:pPr>
      <w:r>
        <w:rPr>
          <w:noProof/>
        </w:rPr>
        <w:lastRenderedPageBreak/>
        <w:drawing>
          <wp:inline distT="0" distB="0" distL="0" distR="0" wp14:anchorId="67E076F2" wp14:editId="2940098B">
            <wp:extent cx="6134100" cy="152527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10"/>
                    <a:stretch>
                      <a:fillRect/>
                    </a:stretch>
                  </pic:blipFill>
                  <pic:spPr>
                    <a:xfrm>
                      <a:off x="0" y="0"/>
                      <a:ext cx="6134100" cy="1525270"/>
                    </a:xfrm>
                    <a:prstGeom prst="rect">
                      <a:avLst/>
                    </a:prstGeom>
                  </pic:spPr>
                </pic:pic>
              </a:graphicData>
            </a:graphic>
          </wp:inline>
        </w:drawing>
      </w:r>
    </w:p>
    <w:p w14:paraId="409D566D" w14:textId="77777777" w:rsidR="00C41F5F" w:rsidRDefault="00832B23">
      <w:pPr>
        <w:pStyle w:val="a4"/>
        <w:spacing w:before="120" w:after="120"/>
        <w:jc w:val="center"/>
        <w:rPr>
          <w:rFonts w:ascii="Times New Roman" w:hAnsi="Times New Roman"/>
        </w:rPr>
      </w:pPr>
      <w:bookmarkStart w:id="0" w:name="_Ref205733551"/>
      <w:r>
        <w:rPr>
          <w:rFonts w:ascii="Times New Roman" w:hAnsi="Times New Roman"/>
        </w:rPr>
        <w:t>Figure</w:t>
      </w:r>
      <w:bookmarkEnd w:id="0"/>
      <w:r>
        <w:rPr>
          <w:rFonts w:ascii="Times New Roman" w:hAnsi="Times New Roman"/>
        </w:rPr>
        <w:t xml:space="preserve"> 4-1 Example of unified repetition solution across multiple channels in RACH procedure</w:t>
      </w:r>
    </w:p>
    <w:p w14:paraId="6F097B85" w14:textId="77777777" w:rsidR="00C41F5F" w:rsidRDefault="00832B23">
      <w:pPr>
        <w:numPr>
          <w:ilvl w:val="0"/>
          <w:numId w:val="18"/>
        </w:numPr>
        <w:tabs>
          <w:tab w:val="left" w:pos="720"/>
        </w:tabs>
        <w:spacing w:before="120" w:after="120" w:line="240" w:lineRule="auto"/>
        <w:rPr>
          <w:b/>
          <w:sz w:val="20"/>
        </w:rPr>
      </w:pPr>
      <w:r>
        <w:rPr>
          <w:b/>
          <w:sz w:val="20"/>
        </w:rPr>
        <w:t>Enhanced PUSCH repetition</w:t>
      </w:r>
    </w:p>
    <w:p w14:paraId="59D49B0B" w14:textId="77777777" w:rsidR="00C41F5F" w:rsidRDefault="00832B23">
      <w:pPr>
        <w:tabs>
          <w:tab w:val="left" w:pos="360"/>
          <w:tab w:val="left" w:pos="720"/>
        </w:tabs>
        <w:spacing w:before="120" w:after="120" w:line="240" w:lineRule="auto"/>
        <w:ind w:left="360"/>
        <w:rPr>
          <w:sz w:val="20"/>
        </w:rPr>
      </w:pPr>
      <w:r>
        <w:rPr>
          <w:sz w:val="20"/>
        </w:rPr>
        <w:t xml:space="preserve">In NR, there are two types of PUSCH repetition: PUSCH repetition A and PUSCH </w:t>
      </w:r>
      <w:bookmarkStart w:id="1" w:name="OLE_LINK15"/>
      <w:r>
        <w:rPr>
          <w:sz w:val="20"/>
        </w:rPr>
        <w:t xml:space="preserve">repetition </w:t>
      </w:r>
      <w:r>
        <w:rPr>
          <w:sz w:val="20"/>
        </w:rPr>
        <w:t>type B</w:t>
      </w:r>
      <w:bookmarkEnd w:id="1"/>
      <w:r>
        <w:rPr>
          <w:sz w:val="20"/>
        </w:rPr>
        <w:t xml:space="preserve">. While repetition A is structurally simple, it cannot meet low-latency requirements. Repetition type B, on the other hand, can support low latency but comes with complex repetition patterns. The nominal PUSCH repetitions </w:t>
      </w:r>
      <w:r>
        <w:rPr>
          <w:sz w:val="20"/>
        </w:rPr>
        <w:t xml:space="preserve">are </w:t>
      </w:r>
      <w:r>
        <w:rPr>
          <w:sz w:val="20"/>
        </w:rPr>
        <w:t>often segmented to actua</w:t>
      </w:r>
      <w:r>
        <w:rPr>
          <w:sz w:val="20"/>
        </w:rPr>
        <w:t xml:space="preserve">l repetitions due to disrupting by unavailable symbols or the transmission of other channels and signals. Consequently, the actual number of repetitions may be significantly lower than the nominal repetition count. </w:t>
      </w:r>
    </w:p>
    <w:p w14:paraId="4C4CED68" w14:textId="77777777" w:rsidR="00C41F5F" w:rsidRDefault="00832B23">
      <w:pPr>
        <w:tabs>
          <w:tab w:val="left" w:pos="360"/>
          <w:tab w:val="left" w:pos="720"/>
        </w:tabs>
        <w:spacing w:before="120" w:after="120" w:line="240" w:lineRule="auto"/>
        <w:ind w:left="360"/>
        <w:rPr>
          <w:sz w:val="20"/>
        </w:rPr>
      </w:pPr>
      <w:r>
        <w:rPr>
          <w:sz w:val="20"/>
        </w:rPr>
        <w:t>For 6GR, a new approach should be consid</w:t>
      </w:r>
      <w:r>
        <w:rPr>
          <w:sz w:val="20"/>
        </w:rPr>
        <w:t>ered with the tradeoff among low-latency requirements, complexity in standardization, reducing hardware and software design challenges.</w:t>
      </w:r>
    </w:p>
    <w:p w14:paraId="3E3C84A6" w14:textId="77777777" w:rsidR="00C41F5F" w:rsidRDefault="00832B23">
      <w:pPr>
        <w:numPr>
          <w:ilvl w:val="0"/>
          <w:numId w:val="18"/>
        </w:numPr>
        <w:tabs>
          <w:tab w:val="left" w:pos="720"/>
        </w:tabs>
        <w:spacing w:before="120" w:after="120" w:line="240" w:lineRule="auto"/>
        <w:rPr>
          <w:b/>
          <w:sz w:val="20"/>
        </w:rPr>
      </w:pPr>
      <w:r>
        <w:rPr>
          <w:rFonts w:hint="eastAsia"/>
          <w:b/>
          <w:sz w:val="20"/>
        </w:rPr>
        <w:t>MIMO</w:t>
      </w:r>
      <w:r>
        <w:rPr>
          <w:b/>
          <w:sz w:val="20"/>
        </w:rPr>
        <w:t xml:space="preserve"> &amp; Topology improvement</w:t>
      </w:r>
    </w:p>
    <w:p w14:paraId="32B9B44A" w14:textId="77777777" w:rsidR="00C41F5F" w:rsidRDefault="00832B23">
      <w:pPr>
        <w:tabs>
          <w:tab w:val="left" w:pos="360"/>
          <w:tab w:val="left" w:pos="720"/>
        </w:tabs>
        <w:spacing w:before="120" w:after="120" w:line="240" w:lineRule="auto"/>
        <w:ind w:left="360"/>
        <w:rPr>
          <w:sz w:val="20"/>
        </w:rPr>
      </w:pPr>
      <w:r>
        <w:rPr>
          <w:sz w:val="20"/>
        </w:rPr>
        <w:t>As mentioned before, the assumption of antenna configurations at both BS and UE side is impo</w:t>
      </w:r>
      <w:r>
        <w:rPr>
          <w:sz w:val="20"/>
        </w:rPr>
        <w:t xml:space="preserve">rtant for coverage analysis. To compensate the identified </w:t>
      </w:r>
      <w:r>
        <w:rPr>
          <w:rFonts w:hint="eastAsia"/>
          <w:sz w:val="20"/>
        </w:rPr>
        <w:t>propagation</w:t>
      </w:r>
      <w:r>
        <w:rPr>
          <w:sz w:val="20"/>
        </w:rPr>
        <w:t xml:space="preserve"> loss, it’s straightforward to introduce a larger number of antenna elements for MIMO design in 6GR, e.g., high beamforming gain. </w:t>
      </w:r>
    </w:p>
    <w:p w14:paraId="19464883" w14:textId="77777777" w:rsidR="00C41F5F" w:rsidRDefault="00832B23">
      <w:pPr>
        <w:tabs>
          <w:tab w:val="left" w:pos="360"/>
          <w:tab w:val="left" w:pos="720"/>
        </w:tabs>
        <w:spacing w:before="120" w:after="120" w:line="240" w:lineRule="auto"/>
        <w:ind w:left="360"/>
        <w:rPr>
          <w:sz w:val="20"/>
        </w:rPr>
      </w:pPr>
      <w:r>
        <w:rPr>
          <w:sz w:val="20"/>
        </w:rPr>
        <w:t xml:space="preserve">Meanwhile, with </w:t>
      </w:r>
      <w:r>
        <w:rPr>
          <w:rFonts w:hint="eastAsia"/>
          <w:sz w:val="20"/>
        </w:rPr>
        <w:t>topology</w:t>
      </w:r>
      <w:r>
        <w:rPr>
          <w:sz w:val="20"/>
        </w:rPr>
        <w:t xml:space="preserve"> </w:t>
      </w:r>
      <w:r>
        <w:rPr>
          <w:rFonts w:hint="eastAsia"/>
          <w:sz w:val="20"/>
        </w:rPr>
        <w:t>improvement</w:t>
      </w:r>
      <w:r>
        <w:rPr>
          <w:sz w:val="20"/>
        </w:rPr>
        <w:t xml:space="preserve"> by introducing addi</w:t>
      </w:r>
      <w:r>
        <w:rPr>
          <w:sz w:val="20"/>
        </w:rPr>
        <w:t>tional nodes, e.g., deployment of mTRP, Reconfigurable Intelligent Surfaces (RIS) or Relay Nodes (NCR), the overall quality of transmission links can be effectively improved. It will lead to improvements on channel conditions and signal strength e.g. for c</w:t>
      </w:r>
      <w:r>
        <w:rPr>
          <w:sz w:val="20"/>
        </w:rPr>
        <w:t>overage-challenging scenarios such as coverage holes and O2I. In addition to multiple antennas, multiple-carrier with UL carrier switching based approach can also be considered to enable the service with expected coverage and performance.</w:t>
      </w:r>
    </w:p>
    <w:p w14:paraId="385883F6" w14:textId="77777777" w:rsidR="00C41F5F" w:rsidRDefault="00832B23">
      <w:pPr>
        <w:numPr>
          <w:ilvl w:val="0"/>
          <w:numId w:val="18"/>
        </w:numPr>
        <w:tabs>
          <w:tab w:val="left" w:pos="720"/>
        </w:tabs>
        <w:spacing w:before="120" w:after="120" w:line="240" w:lineRule="auto"/>
        <w:rPr>
          <w:b/>
          <w:sz w:val="20"/>
        </w:rPr>
      </w:pPr>
      <w:r>
        <w:rPr>
          <w:rFonts w:hint="eastAsia"/>
          <w:b/>
          <w:sz w:val="20"/>
        </w:rPr>
        <w:t>Others</w:t>
      </w:r>
      <w:r>
        <w:rPr>
          <w:b/>
          <w:sz w:val="20"/>
        </w:rPr>
        <w:t xml:space="preserve"> aspects</w:t>
      </w:r>
    </w:p>
    <w:p w14:paraId="36CB3AF3" w14:textId="467237BD" w:rsidR="00C41F5F" w:rsidRDefault="00832B23">
      <w:pPr>
        <w:tabs>
          <w:tab w:val="left" w:pos="360"/>
          <w:tab w:val="left" w:pos="720"/>
        </w:tabs>
        <w:spacing w:before="120" w:after="120" w:line="240" w:lineRule="auto"/>
        <w:ind w:left="360"/>
        <w:rPr>
          <w:sz w:val="20"/>
        </w:rPr>
      </w:pPr>
      <w:r>
        <w:rPr>
          <w:sz w:val="20"/>
        </w:rPr>
        <w:t>In</w:t>
      </w:r>
      <w:r>
        <w:rPr>
          <w:sz w:val="20"/>
        </w:rPr>
        <w:t xml:space="preserve"> 5G NR system, other solutions, e.g., low-PAPR modulation schemes and waveforms, implementing power boosting, have been introduced to improve </w:t>
      </w:r>
      <w:r>
        <w:rPr>
          <w:sz w:val="20"/>
        </w:rPr>
        <w:t>coverage. Similarly, the corresponding study can also be considered for 6GR with more detailed approaches list</w:t>
      </w:r>
      <w:r>
        <w:rPr>
          <w:sz w:val="20"/>
        </w:rPr>
        <w:t xml:space="preserve">ed in </w:t>
      </w:r>
      <w:r>
        <w:rPr>
          <w:sz w:val="20"/>
        </w:rPr>
        <w:fldChar w:fldCharType="begin"/>
      </w:r>
      <w:r>
        <w:rPr>
          <w:sz w:val="20"/>
        </w:rPr>
        <w:instrText xml:space="preserve"> REF _Ref205735843 \r \h </w:instrText>
      </w:r>
      <w:r>
        <w:rPr>
          <w:sz w:val="20"/>
        </w:rPr>
      </w:r>
      <w:r>
        <w:rPr>
          <w:sz w:val="20"/>
        </w:rPr>
        <w:fldChar w:fldCharType="separate"/>
      </w:r>
      <w:r>
        <w:rPr>
          <w:sz w:val="20"/>
        </w:rPr>
        <w:t>[8]</w:t>
      </w:r>
      <w:r>
        <w:rPr>
          <w:sz w:val="20"/>
        </w:rPr>
        <w:fldChar w:fldCharType="end"/>
      </w:r>
      <w:r>
        <w:rPr>
          <w:sz w:val="20"/>
        </w:rPr>
        <w:fldChar w:fldCharType="begin"/>
      </w:r>
      <w:r>
        <w:rPr>
          <w:sz w:val="20"/>
        </w:rPr>
        <w:instrText xml:space="preserve"> REF _Ref206055284 \r \h </w:instrText>
      </w:r>
      <w:r>
        <w:rPr>
          <w:sz w:val="20"/>
        </w:rPr>
      </w:r>
      <w:r>
        <w:rPr>
          <w:sz w:val="20"/>
        </w:rPr>
        <w:fldChar w:fldCharType="separate"/>
      </w:r>
      <w:r>
        <w:rPr>
          <w:sz w:val="20"/>
        </w:rPr>
        <w:t>[9]</w:t>
      </w:r>
      <w:r>
        <w:rPr>
          <w:sz w:val="20"/>
        </w:rPr>
        <w:fldChar w:fldCharType="end"/>
      </w:r>
      <w:r>
        <w:rPr>
          <w:sz w:val="20"/>
        </w:rPr>
        <w:t xml:space="preserve">. </w:t>
      </w:r>
    </w:p>
    <w:p w14:paraId="2DA15A2A" w14:textId="77777777" w:rsidR="00C41F5F" w:rsidRDefault="00832B23">
      <w:pPr>
        <w:pStyle w:val="ZTE-Proposal-20210505"/>
        <w:numPr>
          <w:ilvl w:val="0"/>
          <w:numId w:val="0"/>
        </w:numPr>
        <w:spacing w:line="240" w:lineRule="auto"/>
        <w:ind w:left="420" w:hanging="420"/>
        <w:jc w:val="both"/>
        <w:rPr>
          <w:b w:val="0"/>
          <w:sz w:val="20"/>
        </w:rPr>
      </w:pPr>
      <w:r>
        <w:rPr>
          <w:sz w:val="20"/>
        </w:rPr>
        <w:t>Proposal</w:t>
      </w:r>
      <w:r>
        <w:rPr>
          <w:rFonts w:hint="eastAsia"/>
          <w:bCs w:val="0"/>
          <w:sz w:val="20"/>
        </w:rPr>
        <w:t xml:space="preserve"> </w:t>
      </w:r>
      <w:r>
        <w:rPr>
          <w:sz w:val="20"/>
        </w:rPr>
        <w:t>4</w:t>
      </w:r>
      <w:r>
        <w:rPr>
          <w:rFonts w:hint="eastAsia"/>
          <w:bCs w:val="0"/>
          <w:sz w:val="20"/>
        </w:rPr>
        <w:t>-</w:t>
      </w:r>
      <w:r>
        <w:rPr>
          <w:bCs w:val="0"/>
          <w:sz w:val="20"/>
        </w:rPr>
        <w:t>3</w:t>
      </w:r>
      <w:r>
        <w:rPr>
          <w:b w:val="0"/>
          <w:bCs w:val="0"/>
          <w:sz w:val="20"/>
        </w:rPr>
        <w:t xml:space="preserve">: To enable the native support of </w:t>
      </w:r>
      <w:r>
        <w:rPr>
          <w:b w:val="0"/>
          <w:sz w:val="20"/>
        </w:rPr>
        <w:t xml:space="preserve">coverage </w:t>
      </w:r>
      <w:r>
        <w:rPr>
          <w:b w:val="0"/>
          <w:sz w:val="20"/>
        </w:rPr>
        <w:t xml:space="preserve">enhancements in </w:t>
      </w:r>
      <w:r>
        <w:rPr>
          <w:rFonts w:hint="eastAsia"/>
          <w:b w:val="0"/>
          <w:sz w:val="20"/>
        </w:rPr>
        <w:t xml:space="preserve">6GR, </w:t>
      </w:r>
      <w:r>
        <w:rPr>
          <w:b w:val="0"/>
          <w:sz w:val="20"/>
        </w:rPr>
        <w:t xml:space="preserve">the </w:t>
      </w:r>
      <w:r>
        <w:rPr>
          <w:rFonts w:hint="eastAsia"/>
          <w:b w:val="0"/>
          <w:sz w:val="20"/>
        </w:rPr>
        <w:t xml:space="preserve">following </w:t>
      </w:r>
      <w:r>
        <w:rPr>
          <w:b w:val="0"/>
          <w:sz w:val="20"/>
        </w:rPr>
        <w:t>principle should be considered for the design of relevant topics</w:t>
      </w:r>
      <w:r>
        <w:rPr>
          <w:rFonts w:hint="eastAsia"/>
          <w:b w:val="0"/>
          <w:sz w:val="20"/>
          <w:lang w:val="en-US"/>
        </w:rPr>
        <w:t xml:space="preserve"> in</w:t>
      </w:r>
      <w:r>
        <w:rPr>
          <w:b w:val="0"/>
          <w:sz w:val="20"/>
        </w:rPr>
        <w:t xml:space="preserve"> corresponding agenda item</w:t>
      </w:r>
      <w:r>
        <w:rPr>
          <w:rFonts w:hint="eastAsia"/>
          <w:b w:val="0"/>
          <w:sz w:val="20"/>
          <w:lang w:val="en-US"/>
        </w:rPr>
        <w:t>s</w:t>
      </w:r>
      <w:r>
        <w:rPr>
          <w:b w:val="0"/>
          <w:sz w:val="20"/>
        </w:rPr>
        <w:t>.</w:t>
      </w:r>
    </w:p>
    <w:p w14:paraId="220CC797" w14:textId="26D11704" w:rsidR="00C41F5F" w:rsidRDefault="00832B23">
      <w:pPr>
        <w:numPr>
          <w:ilvl w:val="0"/>
          <w:numId w:val="20"/>
        </w:numPr>
        <w:adjustRightInd w:val="0"/>
        <w:snapToGrid w:val="0"/>
        <w:spacing w:before="120" w:after="120" w:line="240" w:lineRule="auto"/>
        <w:ind w:left="420"/>
        <w:rPr>
          <w:i/>
          <w:sz w:val="20"/>
        </w:rPr>
      </w:pPr>
      <w:r>
        <w:rPr>
          <w:i/>
          <w:sz w:val="20"/>
        </w:rPr>
        <w:t>Unified repetition solution across multiple channels, e.g., at least during initial access</w:t>
      </w:r>
    </w:p>
    <w:p w14:paraId="5F51A686" w14:textId="3E6CC7A0" w:rsidR="00C41F5F" w:rsidRDefault="00832B23">
      <w:pPr>
        <w:numPr>
          <w:ilvl w:val="0"/>
          <w:numId w:val="20"/>
        </w:numPr>
        <w:adjustRightInd w:val="0"/>
        <w:snapToGrid w:val="0"/>
        <w:spacing w:before="120" w:after="120" w:line="240" w:lineRule="auto"/>
        <w:ind w:left="420"/>
        <w:rPr>
          <w:i/>
          <w:sz w:val="20"/>
        </w:rPr>
      </w:pPr>
      <w:r>
        <w:rPr>
          <w:i/>
          <w:sz w:val="20"/>
        </w:rPr>
        <w:t xml:space="preserve">Enhancements on PUSCH repetition </w:t>
      </w:r>
      <w:r>
        <w:rPr>
          <w:i/>
          <w:sz w:val="20"/>
        </w:rPr>
        <w:t>for low-latency as well as transmission performance</w:t>
      </w:r>
    </w:p>
    <w:p w14:paraId="5A6E4522" w14:textId="77777777" w:rsidR="00C41F5F" w:rsidRDefault="00832B23">
      <w:pPr>
        <w:numPr>
          <w:ilvl w:val="0"/>
          <w:numId w:val="20"/>
        </w:numPr>
        <w:adjustRightInd w:val="0"/>
        <w:snapToGrid w:val="0"/>
        <w:spacing w:before="120" w:after="120" w:line="240" w:lineRule="auto"/>
        <w:ind w:left="420"/>
        <w:rPr>
          <w:i/>
          <w:sz w:val="20"/>
        </w:rPr>
      </w:pPr>
      <w:r>
        <w:rPr>
          <w:i/>
          <w:sz w:val="20"/>
        </w:rPr>
        <w:t xml:space="preserve">MIMO technology along with other </w:t>
      </w:r>
      <w:r>
        <w:rPr>
          <w:rFonts w:hint="eastAsia"/>
          <w:i/>
          <w:sz w:val="20"/>
        </w:rPr>
        <w:t>topology</w:t>
      </w:r>
      <w:r>
        <w:rPr>
          <w:i/>
          <w:sz w:val="20"/>
        </w:rPr>
        <w:t xml:space="preserve"> related mechanisms</w:t>
      </w:r>
    </w:p>
    <w:p w14:paraId="535F1D1D" w14:textId="77777777" w:rsidR="00C41F5F" w:rsidRDefault="00832B23">
      <w:pPr>
        <w:numPr>
          <w:ilvl w:val="0"/>
          <w:numId w:val="20"/>
        </w:numPr>
        <w:adjustRightInd w:val="0"/>
        <w:snapToGrid w:val="0"/>
        <w:spacing w:before="120" w:after="120" w:line="240" w:lineRule="auto"/>
        <w:ind w:left="420"/>
        <w:rPr>
          <w:i/>
          <w:sz w:val="20"/>
        </w:rPr>
      </w:pPr>
      <w:r>
        <w:rPr>
          <w:i/>
          <w:sz w:val="20"/>
        </w:rPr>
        <w:t>Low PAPR waveform and modulation, along with other power domain enhancement</w:t>
      </w:r>
    </w:p>
    <w:p w14:paraId="02ECD3BB"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MRSS</w:t>
      </w:r>
      <w:r>
        <w:rPr>
          <w:rFonts w:ascii="Times New Roman" w:eastAsia="宋体" w:hAnsi="Times New Roman"/>
          <w:b/>
          <w:bCs/>
          <w:sz w:val="28"/>
          <w:szCs w:val="28"/>
        </w:rPr>
        <w:t xml:space="preserve"> </w:t>
      </w:r>
    </w:p>
    <w:p w14:paraId="52835984" w14:textId="77777777" w:rsidR="00C41F5F" w:rsidRDefault="00832B23">
      <w:pPr>
        <w:adjustRightInd w:val="0"/>
        <w:snapToGrid w:val="0"/>
        <w:spacing w:before="120" w:after="120" w:line="240" w:lineRule="auto"/>
        <w:rPr>
          <w:sz w:val="20"/>
        </w:rPr>
      </w:pPr>
      <w:r>
        <w:rPr>
          <w:rFonts w:hint="eastAsia"/>
          <w:sz w:val="20"/>
        </w:rPr>
        <w:t>While migrating from one generation to the next, it is important to consider spectrum sharing between the legacy RAT and the new one to achieve smooth deployment migration. Naturally, multi-RAT spectrum sharing (MRSS) should be considered between 6GR and N</w:t>
      </w:r>
      <w:r>
        <w:rPr>
          <w:rFonts w:hint="eastAsia"/>
          <w:sz w:val="20"/>
        </w:rPr>
        <w:t xml:space="preserve">R for 6GR air interface study similar </w:t>
      </w:r>
      <w:r>
        <w:rPr>
          <w:sz w:val="20"/>
        </w:rPr>
        <w:t>to</w:t>
      </w:r>
      <w:r>
        <w:rPr>
          <w:rFonts w:hint="eastAsia"/>
          <w:sz w:val="20"/>
        </w:rPr>
        <w:t xml:space="preserve"> </w:t>
      </w:r>
      <w:r>
        <w:rPr>
          <w:sz w:val="20"/>
        </w:rPr>
        <w:t xml:space="preserve">the study on </w:t>
      </w:r>
      <w:r>
        <w:rPr>
          <w:rFonts w:hint="eastAsia"/>
          <w:sz w:val="20"/>
        </w:rPr>
        <w:t xml:space="preserve">DSS between NR and LTE. A typical deployment is illustrated in Figure </w:t>
      </w:r>
      <w:r>
        <w:rPr>
          <w:sz w:val="20"/>
        </w:rPr>
        <w:t>6</w:t>
      </w:r>
      <w:r>
        <w:rPr>
          <w:rFonts w:hint="eastAsia"/>
          <w:sz w:val="20"/>
        </w:rPr>
        <w:t xml:space="preserve">-1. </w:t>
      </w:r>
    </w:p>
    <w:p w14:paraId="140DF9B8" w14:textId="77777777" w:rsidR="00C41F5F" w:rsidRDefault="00832B23">
      <w:pPr>
        <w:adjustRightInd w:val="0"/>
        <w:snapToGrid w:val="0"/>
        <w:spacing w:before="120" w:after="120" w:line="240" w:lineRule="auto"/>
        <w:jc w:val="center"/>
        <w:rPr>
          <w:sz w:val="20"/>
        </w:rPr>
      </w:pPr>
      <w:r>
        <w:rPr>
          <w:noProof/>
          <w:sz w:val="20"/>
        </w:rPr>
        <w:lastRenderedPageBreak/>
        <w:drawing>
          <wp:inline distT="0" distB="0" distL="114300" distR="114300" wp14:anchorId="18BAD4FE" wp14:editId="5289D04A">
            <wp:extent cx="2821305" cy="1435100"/>
            <wp:effectExtent l="0" t="0" r="13335"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11"/>
                    <a:stretch>
                      <a:fillRect/>
                    </a:stretch>
                  </pic:blipFill>
                  <pic:spPr>
                    <a:xfrm>
                      <a:off x="0" y="0"/>
                      <a:ext cx="2821305" cy="1435100"/>
                    </a:xfrm>
                    <a:prstGeom prst="rect">
                      <a:avLst/>
                    </a:prstGeom>
                    <a:noFill/>
                    <a:ln>
                      <a:noFill/>
                    </a:ln>
                  </pic:spPr>
                </pic:pic>
              </a:graphicData>
            </a:graphic>
          </wp:inline>
        </w:drawing>
      </w:r>
    </w:p>
    <w:p w14:paraId="7731CD60" w14:textId="77777777" w:rsidR="00C41F5F" w:rsidRDefault="00832B23">
      <w:pPr>
        <w:adjustRightInd w:val="0"/>
        <w:snapToGrid w:val="0"/>
        <w:spacing w:before="120" w:after="120" w:line="240" w:lineRule="auto"/>
        <w:jc w:val="center"/>
        <w:rPr>
          <w:sz w:val="20"/>
        </w:rPr>
      </w:pPr>
      <w:r>
        <w:rPr>
          <w:rFonts w:hint="eastAsia"/>
          <w:sz w:val="20"/>
        </w:rPr>
        <w:t xml:space="preserve">Figure </w:t>
      </w:r>
      <w:r>
        <w:rPr>
          <w:sz w:val="20"/>
        </w:rPr>
        <w:t>5</w:t>
      </w:r>
      <w:r>
        <w:rPr>
          <w:rFonts w:hint="eastAsia"/>
          <w:sz w:val="20"/>
        </w:rPr>
        <w:t>-1 MRSS between 6G and 5G</w:t>
      </w:r>
    </w:p>
    <w:p w14:paraId="4CA0CB4B" w14:textId="77777777" w:rsidR="00C41F5F" w:rsidRDefault="00832B23">
      <w:pPr>
        <w:adjustRightInd w:val="0"/>
        <w:snapToGrid w:val="0"/>
        <w:spacing w:before="120" w:after="120" w:line="240" w:lineRule="auto"/>
        <w:rPr>
          <w:sz w:val="20"/>
        </w:rPr>
      </w:pPr>
      <w:r>
        <w:rPr>
          <w:rFonts w:hint="eastAsia"/>
          <w:sz w:val="20"/>
        </w:rPr>
        <w:t>In RAN1#122 meeting, the following agreement was achieved to provide the guidance on desig</w:t>
      </w:r>
      <w:r>
        <w:rPr>
          <w:rFonts w:hint="eastAsia"/>
          <w:sz w:val="20"/>
        </w:rPr>
        <w:t>n target.</w:t>
      </w:r>
    </w:p>
    <w:tbl>
      <w:tblPr>
        <w:tblStyle w:val="af3"/>
        <w:tblW w:w="0" w:type="auto"/>
        <w:tblLook w:val="04A0" w:firstRow="1" w:lastRow="0" w:firstColumn="1" w:lastColumn="0" w:noHBand="0" w:noVBand="1"/>
      </w:tblPr>
      <w:tblGrid>
        <w:gridCol w:w="9650"/>
      </w:tblGrid>
      <w:tr w:rsidR="00C41F5F" w14:paraId="0B43E494" w14:textId="77777777">
        <w:tc>
          <w:tcPr>
            <w:tcW w:w="9876" w:type="dxa"/>
          </w:tcPr>
          <w:p w14:paraId="4FA3D9FB" w14:textId="77777777" w:rsidR="00C41F5F" w:rsidRDefault="00832B23">
            <w:pPr>
              <w:pStyle w:val="af9"/>
              <w:numPr>
                <w:ilvl w:val="255"/>
                <w:numId w:val="0"/>
              </w:numPr>
              <w:snapToGrid w:val="0"/>
              <w:spacing w:beforeLines="50" w:before="120" w:after="120" w:line="240" w:lineRule="auto"/>
              <w:rPr>
                <w:b/>
                <w:bCs/>
                <w:sz w:val="20"/>
                <w:szCs w:val="20"/>
              </w:rPr>
            </w:pPr>
            <w:r>
              <w:rPr>
                <w:b/>
                <w:bCs/>
                <w:sz w:val="20"/>
                <w:szCs w:val="20"/>
                <w:highlight w:val="green"/>
              </w:rPr>
              <w:t>Agreement</w:t>
            </w:r>
          </w:p>
          <w:p w14:paraId="5BEE54F0" w14:textId="77777777" w:rsidR="00C41F5F" w:rsidRDefault="00832B23">
            <w:pPr>
              <w:pStyle w:val="af9"/>
              <w:numPr>
                <w:ilvl w:val="255"/>
                <w:numId w:val="0"/>
              </w:numPr>
              <w:snapToGrid w:val="0"/>
              <w:spacing w:beforeLines="50" w:before="120" w:after="120" w:line="240" w:lineRule="auto"/>
              <w:rPr>
                <w:sz w:val="20"/>
                <w:szCs w:val="20"/>
              </w:rPr>
            </w:pPr>
            <w:r>
              <w:rPr>
                <w:sz w:val="20"/>
                <w:szCs w:val="20"/>
              </w:rPr>
              <w:t>Identify the high-level aspects which impact on the NR-6GR MRSS support.</w:t>
            </w:r>
          </w:p>
          <w:p w14:paraId="613D6476" w14:textId="77777777" w:rsidR="00C41F5F" w:rsidRDefault="00832B23">
            <w:pPr>
              <w:pStyle w:val="af9"/>
              <w:numPr>
                <w:ilvl w:val="0"/>
                <w:numId w:val="21"/>
              </w:numPr>
              <w:snapToGrid w:val="0"/>
              <w:spacing w:beforeLines="50" w:before="120" w:after="120" w:line="240" w:lineRule="auto"/>
              <w:rPr>
                <w:sz w:val="20"/>
              </w:rPr>
            </w:pPr>
            <w:r>
              <w:rPr>
                <w:sz w:val="20"/>
                <w:szCs w:val="20"/>
              </w:rPr>
              <w:t>Including the lessons learned from LTE-NR DSS.</w:t>
            </w:r>
          </w:p>
        </w:tc>
      </w:tr>
    </w:tbl>
    <w:p w14:paraId="46A4AFD9" w14:textId="6E33106D" w:rsidR="00C41F5F" w:rsidRDefault="00832B23">
      <w:pPr>
        <w:adjustRightInd w:val="0"/>
        <w:snapToGrid w:val="0"/>
        <w:spacing w:before="120" w:after="120" w:line="240" w:lineRule="auto"/>
        <w:rPr>
          <w:sz w:val="20"/>
        </w:rPr>
      </w:pPr>
      <w:r>
        <w:rPr>
          <w:rFonts w:hint="eastAsia"/>
          <w:sz w:val="20"/>
        </w:rPr>
        <w:t>In RAN1#122bis meeting, a FL proposal was posted as below. However, it is hard to understand what the specification</w:t>
      </w:r>
      <w:r>
        <w:rPr>
          <w:rFonts w:hint="eastAsia"/>
          <w:sz w:val="20"/>
        </w:rPr>
        <w:t xml:space="preserve"> effort should be paid based on these bullets. Hence, we suggest to make the proposal crystal with providing clear guidance for the future study. </w:t>
      </w:r>
      <w:r>
        <w:rPr>
          <w:sz w:val="20"/>
        </w:rPr>
        <w:t>For example, for the bullet on signaling overhead, it is unclear whether it aims to forbid DCI based rate matc</w:t>
      </w:r>
      <w:r>
        <w:rPr>
          <w:sz w:val="20"/>
        </w:rPr>
        <w:t>hing indication. From our view, both semi-static and dynamic rate matching pattern indication should be studied at the beginning of 6G</w:t>
      </w:r>
      <w:r>
        <w:rPr>
          <w:sz w:val="20"/>
        </w:rPr>
        <w:t xml:space="preserve"> study</w:t>
      </w:r>
      <w:r>
        <w:rPr>
          <w:sz w:val="20"/>
        </w:rPr>
        <w:t xml:space="preserve">. Another example is for reliance on availability of specific NR functionalities, it is unclear what this </w:t>
      </w:r>
      <w:r>
        <w:rPr>
          <w:sz w:val="20"/>
        </w:rPr>
        <w:t>bullet implies. From our view, NR-6G MRSS should be generic and commonly applicable for all NR functionalities. Taking rate matching as</w:t>
      </w:r>
      <w:r>
        <w:rPr>
          <w:sz w:val="20"/>
        </w:rPr>
        <w:t xml:space="preserve"> an</w:t>
      </w:r>
      <w:r>
        <w:rPr>
          <w:sz w:val="20"/>
        </w:rPr>
        <w:t xml:space="preserve"> example, both RB-symbol and RE-symbol levels rate matching patterns should be studied, if supported, should be used t</w:t>
      </w:r>
      <w:r>
        <w:rPr>
          <w:sz w:val="20"/>
        </w:rPr>
        <w:t xml:space="preserve">o rate match around all types of NR signals, such as NR SSB, CSI-RS, PDCCH, etc. On the other hand, it is hard to identify specific NR functionalities one by one when considering rate matching patterns. </w:t>
      </w:r>
      <w:bookmarkStart w:id="2" w:name="_GoBack"/>
      <w:r>
        <w:rPr>
          <w:sz w:val="20"/>
        </w:rPr>
        <w:t>Also, it is not necessary to study resource allocatio</w:t>
      </w:r>
      <w:r>
        <w:rPr>
          <w:sz w:val="20"/>
        </w:rPr>
        <w:t xml:space="preserve">n coordination between NR-6GR as this should be an implementation issue even NR and 6GR TRP are not co-located. </w:t>
      </w:r>
      <w:bookmarkEnd w:id="2"/>
      <w:r>
        <w:rPr>
          <w:rFonts w:hint="eastAsia"/>
          <w:sz w:val="20"/>
        </w:rPr>
        <w:t>In addition, it is unclear what guidance for next step study is provided based on the bullet on radio resource utilization. In short, we sugg</w:t>
      </w:r>
      <w:r>
        <w:rPr>
          <w:rFonts w:hint="eastAsia"/>
          <w:sz w:val="20"/>
        </w:rPr>
        <w:t>est the proposed bullets should</w:t>
      </w:r>
      <w:r>
        <w:rPr>
          <w:rFonts w:hint="eastAsia"/>
          <w:sz w:val="20"/>
        </w:rPr>
        <w:t xml:space="preserve"> have clear guidance from specification perspective. </w:t>
      </w:r>
    </w:p>
    <w:tbl>
      <w:tblPr>
        <w:tblStyle w:val="af3"/>
        <w:tblW w:w="0" w:type="auto"/>
        <w:tblLook w:val="04A0" w:firstRow="1" w:lastRow="0" w:firstColumn="1" w:lastColumn="0" w:noHBand="0" w:noVBand="1"/>
      </w:tblPr>
      <w:tblGrid>
        <w:gridCol w:w="9650"/>
      </w:tblGrid>
      <w:tr w:rsidR="00C41F5F" w14:paraId="0566B86B" w14:textId="77777777">
        <w:tc>
          <w:tcPr>
            <w:tcW w:w="9876" w:type="dxa"/>
          </w:tcPr>
          <w:p w14:paraId="41A0A736" w14:textId="77777777" w:rsidR="00C41F5F" w:rsidRDefault="00832B23">
            <w:pPr>
              <w:pStyle w:val="a9"/>
              <w:snapToGrid w:val="0"/>
              <w:spacing w:beforeLines="0" w:afterLines="0" w:after="0" w:line="240" w:lineRule="auto"/>
              <w:rPr>
                <w:b/>
                <w:bCs/>
                <w:sz w:val="20"/>
                <w:szCs w:val="20"/>
              </w:rPr>
            </w:pPr>
            <w:r>
              <w:rPr>
                <w:b/>
                <w:bCs/>
                <w:sz w:val="20"/>
                <w:szCs w:val="20"/>
                <w:highlight w:val="yellow"/>
              </w:rPr>
              <w:t>Proposal 6.2b:</w:t>
            </w:r>
          </w:p>
          <w:p w14:paraId="4B3BA5BF" w14:textId="77777777" w:rsidR="00C41F5F" w:rsidRDefault="00832B23">
            <w:pPr>
              <w:pStyle w:val="a9"/>
              <w:numPr>
                <w:ilvl w:val="0"/>
                <w:numId w:val="22"/>
              </w:numPr>
              <w:snapToGrid w:val="0"/>
              <w:spacing w:beforeLines="0" w:afterLines="0" w:after="0" w:line="240" w:lineRule="auto"/>
              <w:rPr>
                <w:sz w:val="20"/>
                <w:szCs w:val="20"/>
              </w:rPr>
            </w:pPr>
            <w:r>
              <w:rPr>
                <w:sz w:val="20"/>
                <w:szCs w:val="20"/>
              </w:rPr>
              <w:t>High-level aspects to consider for NR-6GR MRSS include, but not limited to</w:t>
            </w:r>
          </w:p>
          <w:p w14:paraId="4A527624" w14:textId="77777777" w:rsidR="00C41F5F" w:rsidRDefault="00832B23">
            <w:pPr>
              <w:pStyle w:val="a9"/>
              <w:numPr>
                <w:ilvl w:val="1"/>
                <w:numId w:val="22"/>
              </w:numPr>
              <w:snapToGrid w:val="0"/>
              <w:spacing w:beforeLines="0" w:afterLines="0" w:after="0" w:line="240" w:lineRule="auto"/>
              <w:rPr>
                <w:sz w:val="20"/>
                <w:szCs w:val="20"/>
              </w:rPr>
            </w:pPr>
            <w:r>
              <w:rPr>
                <w:sz w:val="20"/>
                <w:szCs w:val="20"/>
              </w:rPr>
              <w:t>UE/NW implementation complexity</w:t>
            </w:r>
          </w:p>
          <w:p w14:paraId="588B102E" w14:textId="77777777" w:rsidR="00C41F5F" w:rsidRDefault="00832B23">
            <w:pPr>
              <w:pStyle w:val="a9"/>
              <w:numPr>
                <w:ilvl w:val="1"/>
                <w:numId w:val="22"/>
              </w:numPr>
              <w:snapToGrid w:val="0"/>
              <w:spacing w:beforeLines="0" w:afterLines="0" w:after="0" w:line="240" w:lineRule="auto"/>
              <w:rPr>
                <w:sz w:val="20"/>
                <w:szCs w:val="20"/>
              </w:rPr>
            </w:pPr>
            <w:r>
              <w:rPr>
                <w:sz w:val="20"/>
                <w:szCs w:val="20"/>
              </w:rPr>
              <w:t>Resource allocation coordination between NR-6GR</w:t>
            </w:r>
          </w:p>
          <w:p w14:paraId="69F88B07" w14:textId="77777777" w:rsidR="00C41F5F" w:rsidRDefault="00832B23">
            <w:pPr>
              <w:pStyle w:val="a9"/>
              <w:numPr>
                <w:ilvl w:val="2"/>
                <w:numId w:val="22"/>
              </w:numPr>
              <w:snapToGrid w:val="0"/>
              <w:spacing w:beforeLines="0" w:afterLines="0" w:after="0" w:line="240" w:lineRule="auto"/>
              <w:rPr>
                <w:sz w:val="20"/>
                <w:szCs w:val="20"/>
              </w:rPr>
            </w:pPr>
            <w:r>
              <w:rPr>
                <w:sz w:val="20"/>
                <w:szCs w:val="20"/>
              </w:rPr>
              <w:t>Including whether NR and 6GR TRP are always co-located or not</w:t>
            </w:r>
          </w:p>
          <w:p w14:paraId="7EFA6EF8" w14:textId="77777777" w:rsidR="00C41F5F" w:rsidRDefault="00832B23">
            <w:pPr>
              <w:pStyle w:val="a9"/>
              <w:numPr>
                <w:ilvl w:val="1"/>
                <w:numId w:val="22"/>
              </w:numPr>
              <w:snapToGrid w:val="0"/>
              <w:spacing w:beforeLines="0" w:afterLines="0" w:after="0" w:line="240" w:lineRule="auto"/>
              <w:rPr>
                <w:sz w:val="20"/>
                <w:szCs w:val="20"/>
              </w:rPr>
            </w:pPr>
            <w:r>
              <w:rPr>
                <w:sz w:val="20"/>
                <w:szCs w:val="20"/>
              </w:rPr>
              <w:t>Radio resource utilization</w:t>
            </w:r>
          </w:p>
          <w:p w14:paraId="688021B8" w14:textId="77777777" w:rsidR="00C41F5F" w:rsidRDefault="00832B23">
            <w:pPr>
              <w:pStyle w:val="a9"/>
              <w:numPr>
                <w:ilvl w:val="1"/>
                <w:numId w:val="22"/>
              </w:numPr>
              <w:snapToGrid w:val="0"/>
              <w:spacing w:beforeLines="0" w:afterLines="0" w:after="0" w:line="240" w:lineRule="auto"/>
              <w:rPr>
                <w:sz w:val="20"/>
                <w:szCs w:val="20"/>
                <w:highlight w:val="yellow"/>
              </w:rPr>
            </w:pPr>
            <w:r>
              <w:rPr>
                <w:sz w:val="20"/>
                <w:szCs w:val="20"/>
                <w:highlight w:val="yellow"/>
              </w:rPr>
              <w:t>Signalling overhead</w:t>
            </w:r>
          </w:p>
          <w:p w14:paraId="169A72FA" w14:textId="77777777" w:rsidR="00C41F5F" w:rsidRDefault="00832B23">
            <w:pPr>
              <w:pStyle w:val="a9"/>
              <w:numPr>
                <w:ilvl w:val="1"/>
                <w:numId w:val="22"/>
              </w:numPr>
              <w:snapToGrid w:val="0"/>
              <w:spacing w:beforeLines="0" w:afterLines="0" w:after="0" w:line="240" w:lineRule="auto"/>
              <w:rPr>
                <w:sz w:val="20"/>
                <w:szCs w:val="20"/>
              </w:rPr>
            </w:pPr>
            <w:r>
              <w:rPr>
                <w:sz w:val="20"/>
                <w:szCs w:val="20"/>
              </w:rPr>
              <w:t xml:space="preserve">Operating bands </w:t>
            </w:r>
            <w:r>
              <w:rPr>
                <w:sz w:val="20"/>
                <w:szCs w:val="20"/>
                <w:highlight w:val="yellow"/>
              </w:rPr>
              <w:t>at least existing FR1</w:t>
            </w:r>
          </w:p>
          <w:p w14:paraId="3E39A036" w14:textId="77777777" w:rsidR="00C41F5F" w:rsidRDefault="00832B23">
            <w:pPr>
              <w:pStyle w:val="a9"/>
              <w:numPr>
                <w:ilvl w:val="1"/>
                <w:numId w:val="22"/>
              </w:numPr>
              <w:snapToGrid w:val="0"/>
              <w:spacing w:beforeLines="0" w:afterLines="0" w:after="0" w:line="240" w:lineRule="auto"/>
              <w:rPr>
                <w:sz w:val="20"/>
                <w:szCs w:val="20"/>
              </w:rPr>
            </w:pPr>
            <w:r>
              <w:rPr>
                <w:sz w:val="20"/>
                <w:szCs w:val="20"/>
              </w:rPr>
              <w:t xml:space="preserve">Alignment in time/frequency resource (e.g., numerology, RB, slot, symbol, </w:t>
            </w:r>
            <w:r>
              <w:rPr>
                <w:sz w:val="20"/>
                <w:szCs w:val="20"/>
                <w:highlight w:val="yellow"/>
              </w:rPr>
              <w:t>UL/DL direction in TDD operation</w:t>
            </w:r>
            <w:r>
              <w:rPr>
                <w:sz w:val="20"/>
                <w:szCs w:val="20"/>
              </w:rPr>
              <w:t>)</w:t>
            </w:r>
          </w:p>
          <w:p w14:paraId="43C404B8" w14:textId="77777777" w:rsidR="00C41F5F" w:rsidRDefault="00832B23">
            <w:pPr>
              <w:pStyle w:val="a9"/>
              <w:numPr>
                <w:ilvl w:val="1"/>
                <w:numId w:val="22"/>
              </w:numPr>
              <w:snapToGrid w:val="0"/>
              <w:spacing w:beforeLines="0" w:afterLines="0" w:after="0" w:line="240" w:lineRule="auto"/>
              <w:rPr>
                <w:sz w:val="20"/>
                <w:szCs w:val="20"/>
                <w:highlight w:val="yellow"/>
              </w:rPr>
            </w:pPr>
            <w:r>
              <w:rPr>
                <w:sz w:val="20"/>
                <w:szCs w:val="20"/>
                <w:highlight w:val="yellow"/>
              </w:rPr>
              <w:t>R</w:t>
            </w:r>
            <w:r>
              <w:rPr>
                <w:sz w:val="20"/>
                <w:szCs w:val="20"/>
                <w:highlight w:val="yellow"/>
              </w:rPr>
              <w:t>eliance on availability of specific NR functionalities</w:t>
            </w:r>
          </w:p>
          <w:p w14:paraId="51F5DD29" w14:textId="77777777" w:rsidR="00C41F5F" w:rsidRDefault="00832B23">
            <w:pPr>
              <w:pStyle w:val="a9"/>
              <w:snapToGrid w:val="0"/>
              <w:spacing w:beforeLines="0" w:afterLines="0" w:after="0" w:line="240" w:lineRule="auto"/>
              <w:ind w:left="440"/>
              <w:rPr>
                <w:sz w:val="20"/>
                <w:szCs w:val="20"/>
              </w:rPr>
            </w:pPr>
            <w:r>
              <w:rPr>
                <w:sz w:val="20"/>
                <w:szCs w:val="20"/>
              </w:rPr>
              <w:t>Note: Focus on existing NR deployments (NW and UE)</w:t>
            </w:r>
          </w:p>
          <w:p w14:paraId="60325153" w14:textId="77777777" w:rsidR="00C41F5F" w:rsidRDefault="00C41F5F">
            <w:pPr>
              <w:adjustRightInd w:val="0"/>
              <w:snapToGrid w:val="0"/>
              <w:spacing w:beforeLines="0" w:afterLines="0" w:after="0" w:line="240" w:lineRule="auto"/>
              <w:rPr>
                <w:sz w:val="20"/>
              </w:rPr>
            </w:pPr>
          </w:p>
        </w:tc>
      </w:tr>
    </w:tbl>
    <w:p w14:paraId="50BD9D7D" w14:textId="77777777" w:rsidR="00C41F5F" w:rsidRDefault="00832B23">
      <w:pPr>
        <w:adjustRightInd w:val="0"/>
        <w:snapToGrid w:val="0"/>
        <w:spacing w:before="120" w:after="120" w:line="240" w:lineRule="auto"/>
        <w:rPr>
          <w:sz w:val="20"/>
        </w:rPr>
      </w:pPr>
      <w:r>
        <w:rPr>
          <w:rFonts w:hint="eastAsia"/>
          <w:sz w:val="20"/>
        </w:rPr>
        <w:t xml:space="preserve">From specification point of view, some </w:t>
      </w:r>
      <w:r>
        <w:rPr>
          <w:sz w:val="20"/>
        </w:rPr>
        <w:t>pain points</w:t>
      </w:r>
      <w:r>
        <w:rPr>
          <w:rFonts w:hint="eastAsia"/>
          <w:sz w:val="20"/>
        </w:rPr>
        <w:t xml:space="preserve"> are identified in the lessons learned from LTE-NR DSS :</w:t>
      </w:r>
    </w:p>
    <w:p w14:paraId="154F9C3B" w14:textId="77777777" w:rsidR="00C41F5F" w:rsidRDefault="00832B23">
      <w:pPr>
        <w:pStyle w:val="af9"/>
        <w:numPr>
          <w:ilvl w:val="0"/>
          <w:numId w:val="23"/>
        </w:numPr>
        <w:adjustRightInd w:val="0"/>
        <w:snapToGrid w:val="0"/>
        <w:spacing w:beforeLines="50" w:before="120" w:after="120" w:line="240" w:lineRule="auto"/>
        <w:ind w:left="363" w:hanging="363"/>
        <w:contextualSpacing w:val="0"/>
        <w:rPr>
          <w:rFonts w:eastAsia="宋体"/>
          <w:sz w:val="20"/>
          <w:szCs w:val="20"/>
        </w:rPr>
      </w:pPr>
      <w:r>
        <w:rPr>
          <w:rFonts w:hint="eastAsia"/>
          <w:sz w:val="20"/>
          <w:szCs w:val="20"/>
        </w:rPr>
        <w:t xml:space="preserve">PDCCH capacity: In Rel-15, </w:t>
      </w:r>
      <w:r>
        <w:rPr>
          <w:sz w:val="20"/>
          <w:szCs w:val="20"/>
        </w:rPr>
        <w:t xml:space="preserve">NR PDCCH </w:t>
      </w:r>
      <w:r>
        <w:rPr>
          <w:sz w:val="20"/>
          <w:szCs w:val="20"/>
        </w:rPr>
        <w:t>cannot overlap with LTE PDCCH</w:t>
      </w:r>
      <w:r>
        <w:rPr>
          <w:rFonts w:hint="eastAsia"/>
          <w:sz w:val="20"/>
          <w:szCs w:val="20"/>
        </w:rPr>
        <w:t xml:space="preserve">/CRS on the shared spectrum. Over time, the capacity of NR PDCCH based on mandatory capabilities becomes limited due to increased NR traffic/UEs. Consequently, PCell scheduled by an SCell was introduced in Rel-17, and </w:t>
      </w:r>
      <w:r>
        <w:rPr>
          <w:sz w:val="20"/>
          <w:szCs w:val="20"/>
        </w:rPr>
        <w:t xml:space="preserve">NR PDCCH </w:t>
      </w:r>
      <w:r>
        <w:rPr>
          <w:sz w:val="20"/>
          <w:szCs w:val="20"/>
        </w:rPr>
        <w:t>reception on the symbols with LTE CRS</w:t>
      </w:r>
      <w:r>
        <w:rPr>
          <w:rFonts w:hint="eastAsia"/>
          <w:sz w:val="20"/>
          <w:szCs w:val="20"/>
        </w:rPr>
        <w:t xml:space="preserve"> was introduced in Rel-18. For MRSS in 6G</w:t>
      </w:r>
      <w:r>
        <w:rPr>
          <w:rFonts w:eastAsia="宋体" w:hint="eastAsia"/>
          <w:sz w:val="20"/>
          <w:szCs w:val="20"/>
        </w:rPr>
        <w:t>R</w:t>
      </w:r>
      <w:r>
        <w:rPr>
          <w:rFonts w:hint="eastAsia"/>
          <w:sz w:val="20"/>
          <w:szCs w:val="20"/>
        </w:rPr>
        <w:t>, PDCCH capacity scalability should be guaranteed in the first release of 6GR.</w:t>
      </w:r>
    </w:p>
    <w:p w14:paraId="2A29326A" w14:textId="77777777" w:rsidR="00C41F5F" w:rsidRDefault="00832B23">
      <w:pPr>
        <w:pStyle w:val="af9"/>
        <w:numPr>
          <w:ilvl w:val="0"/>
          <w:numId w:val="23"/>
        </w:numPr>
        <w:adjustRightInd w:val="0"/>
        <w:snapToGrid w:val="0"/>
        <w:spacing w:beforeLines="50" w:before="120" w:after="120" w:line="240" w:lineRule="auto"/>
        <w:ind w:left="363" w:hanging="363"/>
        <w:contextualSpacing w:val="0"/>
        <w:rPr>
          <w:rFonts w:eastAsia="宋体"/>
          <w:sz w:val="20"/>
          <w:szCs w:val="20"/>
        </w:rPr>
      </w:pPr>
      <w:r>
        <w:rPr>
          <w:rFonts w:hint="eastAsia"/>
          <w:sz w:val="20"/>
          <w:szCs w:val="20"/>
        </w:rPr>
        <w:t xml:space="preserve">Spectrum efficiency: RB-level and RE-level rate matching can be applied only to NR PDSCH to avoid </w:t>
      </w:r>
      <w:r>
        <w:rPr>
          <w:rFonts w:hint="eastAsia"/>
          <w:sz w:val="20"/>
          <w:szCs w:val="20"/>
        </w:rPr>
        <w:t xml:space="preserve">overlapping with resources for LTE signals/channels. </w:t>
      </w:r>
      <w:r>
        <w:rPr>
          <w:rFonts w:eastAsia="宋体" w:hint="eastAsia"/>
          <w:sz w:val="20"/>
          <w:szCs w:val="20"/>
        </w:rPr>
        <w:t>In addition, r</w:t>
      </w:r>
      <w:r>
        <w:rPr>
          <w:rFonts w:hint="eastAsia"/>
          <w:sz w:val="20"/>
          <w:szCs w:val="20"/>
        </w:rPr>
        <w:t>eference signals for measurements</w:t>
      </w:r>
      <w:r>
        <w:rPr>
          <w:rFonts w:eastAsia="宋体" w:hint="eastAsia"/>
          <w:sz w:val="20"/>
          <w:szCs w:val="20"/>
        </w:rPr>
        <w:t>, e.g. CSI-RS</w:t>
      </w:r>
      <w:r>
        <w:rPr>
          <w:rFonts w:hint="eastAsia"/>
          <w:sz w:val="20"/>
          <w:szCs w:val="20"/>
        </w:rPr>
        <w:t xml:space="preserve"> are configured </w:t>
      </w:r>
      <w:r>
        <w:rPr>
          <w:rFonts w:hint="eastAsia"/>
          <w:sz w:val="20"/>
          <w:szCs w:val="20"/>
        </w:rPr>
        <w:lastRenderedPageBreak/>
        <w:t>independently for each RAT even on the same spectrum. These lead to low efficiency on spectrum utilization. For MRSS in 6G</w:t>
      </w:r>
      <w:r>
        <w:rPr>
          <w:rFonts w:eastAsia="宋体" w:hint="eastAsia"/>
          <w:sz w:val="20"/>
          <w:szCs w:val="20"/>
        </w:rPr>
        <w:t>R</w:t>
      </w:r>
      <w:r>
        <w:rPr>
          <w:rFonts w:hint="eastAsia"/>
          <w:sz w:val="20"/>
          <w:szCs w:val="20"/>
        </w:rPr>
        <w:t>, sp</w:t>
      </w:r>
      <w:r>
        <w:rPr>
          <w:rFonts w:hint="eastAsia"/>
          <w:sz w:val="20"/>
          <w:szCs w:val="20"/>
        </w:rPr>
        <w:t>ectrum efficiency improvements</w:t>
      </w:r>
      <w:r>
        <w:rPr>
          <w:sz w:val="20"/>
          <w:szCs w:val="20"/>
        </w:rPr>
        <w:t xml:space="preserve"> can be studied.</w:t>
      </w:r>
      <w:r>
        <w:rPr>
          <w:rFonts w:hint="eastAsia"/>
          <w:sz w:val="20"/>
          <w:szCs w:val="20"/>
        </w:rPr>
        <w:t xml:space="preserve"> </w:t>
      </w:r>
      <w:r>
        <w:rPr>
          <w:sz w:val="20"/>
          <w:szCs w:val="20"/>
        </w:rPr>
        <w:t xml:space="preserve"> </w:t>
      </w:r>
    </w:p>
    <w:p w14:paraId="097FE214" w14:textId="612B52E0" w:rsidR="00C41F5F" w:rsidRDefault="00832B23">
      <w:pPr>
        <w:snapToGrid w:val="0"/>
        <w:spacing w:before="120" w:after="120" w:line="240" w:lineRule="auto"/>
        <w:rPr>
          <w:rFonts w:eastAsia="Times New Roman"/>
          <w:i/>
          <w:sz w:val="20"/>
        </w:rPr>
      </w:pPr>
      <w:r>
        <w:rPr>
          <w:rFonts w:hint="eastAsia"/>
          <w:sz w:val="20"/>
        </w:rPr>
        <w:t xml:space="preserve">It is noted that in RAN1#122bis meeting, the lessons learned from LTE-NR DSS were discussed offline, especially on those caused by LTE CRS. However, </w:t>
      </w:r>
      <w:r>
        <w:rPr>
          <w:sz w:val="20"/>
        </w:rPr>
        <w:t>no</w:t>
      </w:r>
      <w:r>
        <w:rPr>
          <w:rFonts w:hint="eastAsia"/>
          <w:sz w:val="20"/>
        </w:rPr>
        <w:t xml:space="preserve"> </w:t>
      </w:r>
      <w:r>
        <w:rPr>
          <w:rFonts w:hint="eastAsia"/>
          <w:sz w:val="20"/>
        </w:rPr>
        <w:t xml:space="preserve">consensus was </w:t>
      </w:r>
      <w:r>
        <w:rPr>
          <w:rFonts w:hint="eastAsia"/>
          <w:sz w:val="20"/>
        </w:rPr>
        <w:t>achieved since NR has no CRS, and</w:t>
      </w:r>
      <w:r>
        <w:rPr>
          <w:rFonts w:hint="eastAsia"/>
          <w:sz w:val="20"/>
        </w:rPr>
        <w:t xml:space="preserve"> the lessons caused by LTE CRS are not that much meaningful to NR-6G MRSS. Instead of proposing lessons learned from LTE-NR DSS, it is preferred to give some positive guidance on the aspects of supporting MRSS between 6GR and NR.</w:t>
      </w:r>
      <w:r>
        <w:rPr>
          <w:rFonts w:eastAsia="Times New Roman"/>
          <w:sz w:val="20"/>
        </w:rPr>
        <w:t xml:space="preserve"> </w:t>
      </w:r>
      <w:r>
        <w:rPr>
          <w:rFonts w:eastAsia="Times New Roman"/>
          <w:i/>
          <w:sz w:val="20"/>
        </w:rPr>
        <w:t xml:space="preserve"> </w:t>
      </w:r>
    </w:p>
    <w:p w14:paraId="0A10DD61" w14:textId="77777777" w:rsidR="00C41F5F" w:rsidRDefault="00832B23">
      <w:pPr>
        <w:snapToGrid w:val="0"/>
        <w:spacing w:before="120" w:after="120" w:line="240" w:lineRule="auto"/>
        <w:rPr>
          <w:sz w:val="20"/>
        </w:rPr>
      </w:pPr>
      <w:r>
        <w:rPr>
          <w:rFonts w:hint="eastAsia"/>
          <w:sz w:val="20"/>
        </w:rPr>
        <w:t>As a starting point, 4G-</w:t>
      </w:r>
      <w:r>
        <w:rPr>
          <w:rFonts w:hint="eastAsia"/>
          <w:sz w:val="20"/>
        </w:rPr>
        <w:t>5G DSS solutions can be considered in 6GR mainly including rate matching and interference mitigation. For example, a 6GR UE should be able to do rate matching around 5G common resources</w:t>
      </w:r>
      <w:r>
        <w:rPr>
          <w:sz w:val="20"/>
        </w:rPr>
        <w:t>.</w:t>
      </w:r>
      <w:r>
        <w:rPr>
          <w:rFonts w:hint="eastAsia"/>
          <w:sz w:val="20"/>
        </w:rPr>
        <w:t xml:space="preserve"> </w:t>
      </w:r>
      <w:r>
        <w:rPr>
          <w:sz w:val="20"/>
        </w:rPr>
        <w:t>A</w:t>
      </w:r>
      <w:r>
        <w:rPr>
          <w:rFonts w:hint="eastAsia"/>
          <w:sz w:val="20"/>
        </w:rPr>
        <w:t>lternatively</w:t>
      </w:r>
      <w:r>
        <w:rPr>
          <w:sz w:val="20"/>
        </w:rPr>
        <w:t>,</w:t>
      </w:r>
      <w:r>
        <w:rPr>
          <w:rFonts w:hint="eastAsia"/>
          <w:sz w:val="20"/>
        </w:rPr>
        <w:t xml:space="preserve"> a 6GR UE can detect 5G signals and cancel the correspo</w:t>
      </w:r>
      <w:r>
        <w:rPr>
          <w:rFonts w:hint="eastAsia"/>
          <w:sz w:val="20"/>
        </w:rPr>
        <w:t xml:space="preserve">nding interference similar to CRS-IM defined in RAN4 for NR. </w:t>
      </w:r>
    </w:p>
    <w:p w14:paraId="440989FC" w14:textId="77777777" w:rsidR="00C41F5F" w:rsidRDefault="00832B23">
      <w:pPr>
        <w:snapToGrid w:val="0"/>
        <w:spacing w:before="120" w:after="120" w:line="240" w:lineRule="auto"/>
        <w:rPr>
          <w:sz w:val="20"/>
        </w:rPr>
      </w:pPr>
      <w:r>
        <w:rPr>
          <w:rFonts w:hint="eastAsia"/>
          <w:sz w:val="20"/>
        </w:rPr>
        <w:t>To overcome the pain points of NR DSS, two options, i.e. rate matching and signal sharing were discussed in RAN1#122, here some further analysis are provided below.</w:t>
      </w:r>
    </w:p>
    <w:p w14:paraId="3CFF67C8" w14:textId="77777777" w:rsidR="00C41F5F" w:rsidRDefault="00832B23">
      <w:pPr>
        <w:pStyle w:val="af9"/>
        <w:numPr>
          <w:ilvl w:val="0"/>
          <w:numId w:val="23"/>
        </w:numPr>
        <w:adjustRightInd w:val="0"/>
        <w:spacing w:after="120"/>
        <w:ind w:left="363" w:hanging="363"/>
        <w:rPr>
          <w:sz w:val="20"/>
        </w:rPr>
      </w:pPr>
      <w:r>
        <w:rPr>
          <w:rFonts w:eastAsia="宋体" w:hint="eastAsia"/>
          <w:sz w:val="20"/>
          <w:szCs w:val="20"/>
        </w:rPr>
        <w:t xml:space="preserve">For </w:t>
      </w:r>
      <w:r>
        <w:rPr>
          <w:rFonts w:hint="eastAsia"/>
          <w:sz w:val="20"/>
          <w:szCs w:val="20"/>
        </w:rPr>
        <w:t xml:space="preserve">rate </w:t>
      </w:r>
      <w:r>
        <w:rPr>
          <w:rFonts w:hint="eastAsia"/>
          <w:sz w:val="20"/>
        </w:rPr>
        <w:t>matching</w:t>
      </w:r>
      <w:r>
        <w:rPr>
          <w:rFonts w:eastAsia="宋体" w:hint="eastAsia"/>
          <w:sz w:val="20"/>
        </w:rPr>
        <w:t>,</w:t>
      </w:r>
      <w:r>
        <w:rPr>
          <w:rFonts w:hint="eastAsia"/>
          <w:sz w:val="20"/>
        </w:rPr>
        <w:t xml:space="preserve"> </w:t>
      </w:r>
      <w:r>
        <w:rPr>
          <w:rFonts w:eastAsia="宋体" w:hint="eastAsia"/>
          <w:sz w:val="20"/>
        </w:rPr>
        <w:t xml:space="preserve">it </w:t>
      </w:r>
      <w:r>
        <w:rPr>
          <w:rFonts w:hint="eastAsia"/>
          <w:sz w:val="20"/>
        </w:rPr>
        <w:t xml:space="preserve">can be </w:t>
      </w:r>
      <w:r>
        <w:rPr>
          <w:rFonts w:hint="eastAsia"/>
          <w:sz w:val="20"/>
        </w:rPr>
        <w:t>considered to other channels besides PDSCH, e.g. for PDCCH, and even PUSCH. For instance, because of potential duplex types in 6G</w:t>
      </w:r>
      <w:r>
        <w:rPr>
          <w:rFonts w:eastAsia="宋体" w:hint="eastAsia"/>
          <w:sz w:val="20"/>
        </w:rPr>
        <w:t>R</w:t>
      </w:r>
      <w:r>
        <w:rPr>
          <w:rFonts w:hint="eastAsia"/>
          <w:sz w:val="20"/>
        </w:rPr>
        <w:t>, the legacy NR wideband RS may be overlapped with 6GR PUSCH transmission. In addition, some optimization</w:t>
      </w:r>
      <w:r>
        <w:rPr>
          <w:sz w:val="20"/>
        </w:rPr>
        <w:t>s</w:t>
      </w:r>
      <w:r>
        <w:rPr>
          <w:rFonts w:hint="eastAsia"/>
          <w:sz w:val="20"/>
        </w:rPr>
        <w:t xml:space="preserve"> can be considered, </w:t>
      </w:r>
      <w:r>
        <w:rPr>
          <w:rFonts w:hint="eastAsia"/>
          <w:sz w:val="20"/>
        </w:rPr>
        <w:t xml:space="preserve">e.g. TBS determination could be based on usable PRBs instead of allocated PRBs. </w:t>
      </w:r>
    </w:p>
    <w:p w14:paraId="2D3D3854" w14:textId="77777777" w:rsidR="00C41F5F" w:rsidRDefault="00832B23">
      <w:pPr>
        <w:pStyle w:val="af9"/>
        <w:numPr>
          <w:ilvl w:val="0"/>
          <w:numId w:val="23"/>
        </w:numPr>
        <w:adjustRightInd w:val="0"/>
        <w:spacing w:after="120"/>
        <w:ind w:left="363" w:hanging="363"/>
        <w:rPr>
          <w:sz w:val="20"/>
        </w:rPr>
      </w:pPr>
      <w:r>
        <w:rPr>
          <w:rFonts w:hint="eastAsia"/>
          <w:sz w:val="20"/>
        </w:rPr>
        <w:t xml:space="preserve">For 6GR </w:t>
      </w:r>
      <w:r>
        <w:rPr>
          <w:rFonts w:eastAsia="宋体" w:hint="eastAsia"/>
          <w:sz w:val="20"/>
        </w:rPr>
        <w:t>sharing</w:t>
      </w:r>
      <w:r>
        <w:rPr>
          <w:rFonts w:hint="eastAsia"/>
          <w:sz w:val="20"/>
        </w:rPr>
        <w:t xml:space="preserve"> NR signals/channels</w:t>
      </w:r>
      <w:r>
        <w:rPr>
          <w:rFonts w:eastAsia="宋体" w:hint="eastAsia"/>
          <w:sz w:val="20"/>
        </w:rPr>
        <w:t xml:space="preserve">, this would introduce strong restrictions for 6GR </w:t>
      </w:r>
      <w:r>
        <w:rPr>
          <w:rFonts w:hint="eastAsia"/>
          <w:sz w:val="20"/>
        </w:rPr>
        <w:t>signals/channels</w:t>
      </w:r>
      <w:r>
        <w:rPr>
          <w:rFonts w:eastAsia="宋体" w:hint="eastAsia"/>
          <w:sz w:val="20"/>
        </w:rPr>
        <w:t xml:space="preserve"> design. At this stage, it is better not to introduce this general restri</w:t>
      </w:r>
      <w:r>
        <w:rPr>
          <w:rFonts w:eastAsia="宋体" w:hint="eastAsia"/>
          <w:sz w:val="20"/>
        </w:rPr>
        <w:t xml:space="preserve">ction before designing specific 6GR </w:t>
      </w:r>
      <w:r>
        <w:rPr>
          <w:rFonts w:hint="eastAsia"/>
          <w:sz w:val="20"/>
        </w:rPr>
        <w:t>signals/channels</w:t>
      </w:r>
      <w:r>
        <w:rPr>
          <w:rFonts w:eastAsia="宋体" w:hint="eastAsia"/>
          <w:sz w:val="20"/>
        </w:rPr>
        <w:t xml:space="preserve">. In other words, it should be discussed case by case for each channel / signal, e.g. SSB, PDCCH, CSI-RS and DMRS may have different considerations. </w:t>
      </w:r>
    </w:p>
    <w:p w14:paraId="20A6ABBC" w14:textId="77777777" w:rsidR="00C41F5F" w:rsidRDefault="00832B23">
      <w:pPr>
        <w:snapToGrid w:val="0"/>
        <w:spacing w:before="120" w:after="120" w:line="240" w:lineRule="auto"/>
        <w:rPr>
          <w:i/>
          <w:sz w:val="20"/>
        </w:rPr>
      </w:pPr>
      <w:r>
        <w:rPr>
          <w:rFonts w:hint="eastAsia"/>
          <w:b/>
          <w:bCs/>
          <w:i/>
          <w:sz w:val="20"/>
        </w:rPr>
        <w:t xml:space="preserve">Proposal </w:t>
      </w:r>
      <w:r>
        <w:rPr>
          <w:b/>
          <w:bCs/>
          <w:i/>
          <w:sz w:val="20"/>
        </w:rPr>
        <w:t>5</w:t>
      </w:r>
      <w:r>
        <w:rPr>
          <w:rFonts w:hint="eastAsia"/>
          <w:b/>
          <w:bCs/>
          <w:i/>
          <w:sz w:val="20"/>
        </w:rPr>
        <w:t xml:space="preserve">-1: </w:t>
      </w:r>
      <w:r>
        <w:rPr>
          <w:i/>
          <w:sz w:val="20"/>
        </w:rPr>
        <w:t xml:space="preserve">The aspects to consider for supporting </w:t>
      </w:r>
      <w:r>
        <w:rPr>
          <w:rFonts w:hint="eastAsia"/>
          <w:i/>
          <w:sz w:val="20"/>
        </w:rPr>
        <w:t xml:space="preserve">MRSS between 6GR and NR include </w:t>
      </w:r>
    </w:p>
    <w:p w14:paraId="35170E22" w14:textId="77777777" w:rsidR="00C41F5F" w:rsidRDefault="00832B23">
      <w:pPr>
        <w:numPr>
          <w:ilvl w:val="0"/>
          <w:numId w:val="20"/>
        </w:numPr>
        <w:snapToGrid w:val="0"/>
        <w:spacing w:before="120" w:after="120" w:line="240" w:lineRule="auto"/>
        <w:ind w:left="420"/>
        <w:rPr>
          <w:i/>
          <w:sz w:val="20"/>
        </w:rPr>
      </w:pPr>
      <w:r>
        <w:rPr>
          <w:rFonts w:hint="eastAsia"/>
          <w:i/>
          <w:sz w:val="20"/>
        </w:rPr>
        <w:t>Rate matching</w:t>
      </w:r>
    </w:p>
    <w:p w14:paraId="50860917" w14:textId="77777777" w:rsidR="00C41F5F" w:rsidRDefault="00832B23">
      <w:pPr>
        <w:numPr>
          <w:ilvl w:val="1"/>
          <w:numId w:val="20"/>
        </w:numPr>
        <w:snapToGrid w:val="0"/>
        <w:spacing w:before="120" w:after="120" w:line="240" w:lineRule="auto"/>
        <w:ind w:left="840"/>
        <w:rPr>
          <w:i/>
          <w:sz w:val="20"/>
        </w:rPr>
      </w:pPr>
      <w:r>
        <w:rPr>
          <w:i/>
          <w:sz w:val="20"/>
        </w:rPr>
        <w:t>Study both dynamic and semi-static rate matching indication</w:t>
      </w:r>
    </w:p>
    <w:p w14:paraId="41178FEC" w14:textId="77777777" w:rsidR="00C41F5F" w:rsidRDefault="00832B23">
      <w:pPr>
        <w:numPr>
          <w:ilvl w:val="1"/>
          <w:numId w:val="20"/>
        </w:numPr>
        <w:snapToGrid w:val="0"/>
        <w:spacing w:before="120" w:after="120" w:line="240" w:lineRule="auto"/>
        <w:ind w:left="840"/>
        <w:rPr>
          <w:i/>
          <w:sz w:val="20"/>
        </w:rPr>
      </w:pPr>
      <w:r>
        <w:rPr>
          <w:i/>
          <w:sz w:val="20"/>
        </w:rPr>
        <w:t>Study rate matching for PDCCH and for PUSCH besides PDSCH.</w:t>
      </w:r>
    </w:p>
    <w:p w14:paraId="3FF91F09" w14:textId="77777777" w:rsidR="00C41F5F" w:rsidRDefault="00832B23">
      <w:pPr>
        <w:numPr>
          <w:ilvl w:val="0"/>
          <w:numId w:val="20"/>
        </w:numPr>
        <w:snapToGrid w:val="0"/>
        <w:spacing w:before="120" w:after="120" w:line="240" w:lineRule="auto"/>
        <w:ind w:left="420"/>
        <w:rPr>
          <w:i/>
          <w:sz w:val="20"/>
        </w:rPr>
      </w:pPr>
      <w:r>
        <w:rPr>
          <w:rFonts w:hint="eastAsia"/>
          <w:i/>
          <w:sz w:val="20"/>
        </w:rPr>
        <w:t>NR RS interference mitigation.</w:t>
      </w:r>
    </w:p>
    <w:p w14:paraId="53286EFD" w14:textId="77777777" w:rsidR="00C41F5F" w:rsidRDefault="00832B23">
      <w:pPr>
        <w:numPr>
          <w:ilvl w:val="0"/>
          <w:numId w:val="20"/>
        </w:numPr>
        <w:snapToGrid w:val="0"/>
        <w:spacing w:before="120" w:after="120" w:line="240" w:lineRule="auto"/>
        <w:ind w:left="420"/>
        <w:rPr>
          <w:i/>
          <w:sz w:val="20"/>
        </w:rPr>
      </w:pPr>
      <w:r>
        <w:rPr>
          <w:i/>
          <w:sz w:val="20"/>
        </w:rPr>
        <w:t xml:space="preserve">Note: NR-6GR MRSS solutions should be generic and not </w:t>
      </w:r>
      <w:r>
        <w:rPr>
          <w:i/>
          <w:sz w:val="20"/>
        </w:rPr>
        <w:t>depend on any spec</w:t>
      </w:r>
      <w:r>
        <w:rPr>
          <w:rFonts w:hint="eastAsia"/>
          <w:i/>
          <w:sz w:val="20"/>
        </w:rPr>
        <w:t>i</w:t>
      </w:r>
      <w:r>
        <w:rPr>
          <w:i/>
          <w:sz w:val="20"/>
        </w:rPr>
        <w:t>fic NR design.</w:t>
      </w:r>
    </w:p>
    <w:p w14:paraId="5136CE21"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 xml:space="preserve">6GR sync signal structure </w:t>
      </w:r>
    </w:p>
    <w:p w14:paraId="3E8EA93F" w14:textId="77777777" w:rsidR="00C41F5F" w:rsidRDefault="00832B23">
      <w:pPr>
        <w:spacing w:before="120" w:after="120"/>
        <w:rPr>
          <w:sz w:val="20"/>
        </w:rPr>
      </w:pPr>
      <w:r>
        <w:rPr>
          <w:sz w:val="20"/>
        </w:rPr>
        <w:t>In</w:t>
      </w:r>
      <w:r>
        <w:rPr>
          <w:rFonts w:hint="eastAsia"/>
          <w:sz w:val="20"/>
        </w:rPr>
        <w:t xml:space="preserve"> RAN1#122bis, the following agreement was achieved</w:t>
      </w:r>
      <w:r>
        <w:rPr>
          <w:sz w:val="20"/>
        </w:rPr>
        <w:t xml:space="preserve"> as guidance for 6GR sync signal </w:t>
      </w:r>
      <w:r>
        <w:rPr>
          <w:rFonts w:hint="eastAsia"/>
          <w:sz w:val="20"/>
        </w:rPr>
        <w:t xml:space="preserve">structure </w:t>
      </w:r>
      <w:r>
        <w:rPr>
          <w:sz w:val="20"/>
        </w:rPr>
        <w:t xml:space="preserve">study. </w:t>
      </w:r>
    </w:p>
    <w:tbl>
      <w:tblPr>
        <w:tblStyle w:val="af3"/>
        <w:tblW w:w="0" w:type="auto"/>
        <w:tblInd w:w="103" w:type="dxa"/>
        <w:tblLook w:val="04A0" w:firstRow="1" w:lastRow="0" w:firstColumn="1" w:lastColumn="0" w:noHBand="0" w:noVBand="1"/>
      </w:tblPr>
      <w:tblGrid>
        <w:gridCol w:w="9547"/>
      </w:tblGrid>
      <w:tr w:rsidR="00C41F5F" w14:paraId="17BAFC29" w14:textId="77777777">
        <w:tc>
          <w:tcPr>
            <w:tcW w:w="9547" w:type="dxa"/>
          </w:tcPr>
          <w:p w14:paraId="01FFA6E3" w14:textId="77777777" w:rsidR="00C41F5F" w:rsidRDefault="00832B23">
            <w:pPr>
              <w:pStyle w:val="a9"/>
              <w:numPr>
                <w:ilvl w:val="255"/>
                <w:numId w:val="0"/>
              </w:numPr>
              <w:spacing w:before="120" w:line="240" w:lineRule="auto"/>
              <w:rPr>
                <w:rFonts w:ascii="Times New Roman" w:eastAsia="等线" w:hAnsi="Times New Roman"/>
                <w:sz w:val="20"/>
                <w:szCs w:val="21"/>
                <w:highlight w:val="green"/>
              </w:rPr>
            </w:pPr>
            <w:r>
              <w:rPr>
                <w:rFonts w:ascii="Times New Roman" w:eastAsia="等线" w:hAnsi="Times New Roman"/>
                <w:sz w:val="20"/>
                <w:szCs w:val="21"/>
                <w:highlight w:val="green"/>
              </w:rPr>
              <w:t>Agreement</w:t>
            </w:r>
          </w:p>
          <w:p w14:paraId="47B21381" w14:textId="77777777" w:rsidR="00C41F5F" w:rsidRDefault="00832B23">
            <w:pPr>
              <w:pStyle w:val="a9"/>
              <w:numPr>
                <w:ilvl w:val="0"/>
                <w:numId w:val="24"/>
              </w:numPr>
              <w:suppressAutoHyphens/>
              <w:spacing w:before="120" w:line="240" w:lineRule="auto"/>
              <w:rPr>
                <w:rFonts w:ascii="Times New Roman" w:hAnsi="Times New Roman"/>
                <w:sz w:val="20"/>
                <w:szCs w:val="21"/>
              </w:rPr>
            </w:pPr>
            <w:r>
              <w:rPr>
                <w:rFonts w:ascii="Times New Roman" w:hAnsi="Times New Roman"/>
                <w:sz w:val="20"/>
                <w:szCs w:val="21"/>
              </w:rPr>
              <w:t>High-level aspects to consider for the 6GR sync</w:t>
            </w:r>
            <w:r>
              <w:rPr>
                <w:rFonts w:ascii="Times New Roman" w:eastAsia="等线" w:hAnsi="Times New Roman"/>
                <w:sz w:val="20"/>
                <w:szCs w:val="21"/>
              </w:rPr>
              <w:t xml:space="preserve"> signal</w:t>
            </w:r>
            <w:r>
              <w:rPr>
                <w:rFonts w:ascii="Times New Roman" w:hAnsi="Times New Roman"/>
                <w:sz w:val="20"/>
                <w:szCs w:val="21"/>
              </w:rPr>
              <w:t xml:space="preserve"> structure include, but not </w:t>
            </w:r>
            <w:r>
              <w:rPr>
                <w:rFonts w:ascii="Times New Roman" w:hAnsi="Times New Roman"/>
                <w:sz w:val="20"/>
                <w:szCs w:val="21"/>
              </w:rPr>
              <w:t>limited to</w:t>
            </w:r>
          </w:p>
          <w:p w14:paraId="15A308D2"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Sync raster design</w:t>
            </w:r>
          </w:p>
          <w:p w14:paraId="2A961950"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Spectrum allocation</w:t>
            </w:r>
          </w:p>
          <w:p w14:paraId="5B55CE4E"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smallest maximum supported RF and BB UE BW without spectrum aggregation</w:t>
            </w:r>
          </w:p>
          <w:p w14:paraId="05D861AD"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mobile broadband service requirements as high priority</w:t>
            </w:r>
          </w:p>
          <w:p w14:paraId="5927ED6F"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Energy efficiency for both BS and UE</w:t>
            </w:r>
          </w:p>
          <w:p w14:paraId="6BCC8F04"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Detection/tracking performance, latency, a</w:t>
            </w:r>
            <w:r>
              <w:rPr>
                <w:rFonts w:ascii="Times New Roman" w:hAnsi="Times New Roman"/>
                <w:sz w:val="20"/>
                <w:szCs w:val="21"/>
              </w:rPr>
              <w:t>nd complexity</w:t>
            </w:r>
          </w:p>
          <w:p w14:paraId="21978889" w14:textId="77777777" w:rsidR="00C41F5F" w:rsidRDefault="00832B23">
            <w:pPr>
              <w:pStyle w:val="a9"/>
              <w:numPr>
                <w:ilvl w:val="2"/>
                <w:numId w:val="25"/>
              </w:numPr>
              <w:suppressAutoHyphens/>
              <w:spacing w:before="120" w:line="240" w:lineRule="auto"/>
              <w:rPr>
                <w:rFonts w:ascii="Times New Roman" w:hAnsi="Times New Roman"/>
                <w:sz w:val="20"/>
                <w:szCs w:val="21"/>
              </w:rPr>
            </w:pPr>
            <w:r>
              <w:rPr>
                <w:rFonts w:ascii="Times New Roman" w:hAnsi="Times New Roman"/>
                <w:sz w:val="20"/>
                <w:szCs w:val="21"/>
              </w:rPr>
              <w:t>Including initial cell search</w:t>
            </w:r>
          </w:p>
          <w:p w14:paraId="4D5DC1D1"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Coverage target</w:t>
            </w:r>
          </w:p>
          <w:p w14:paraId="20E144CC"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Common design for diverse device types</w:t>
            </w:r>
          </w:p>
          <w:p w14:paraId="7D18FFBA"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Consideration of the supported deployment</w:t>
            </w:r>
          </w:p>
          <w:p w14:paraId="4317768F" w14:textId="77777777" w:rsidR="00C41F5F" w:rsidRDefault="00832B23">
            <w:pPr>
              <w:pStyle w:val="a9"/>
              <w:numPr>
                <w:ilvl w:val="1"/>
                <w:numId w:val="25"/>
              </w:numPr>
              <w:suppressAutoHyphens/>
              <w:spacing w:before="120" w:line="240" w:lineRule="auto"/>
              <w:rPr>
                <w:rFonts w:ascii="Times New Roman" w:hAnsi="Times New Roman"/>
                <w:sz w:val="20"/>
                <w:szCs w:val="21"/>
              </w:rPr>
            </w:pPr>
            <w:r>
              <w:rPr>
                <w:rFonts w:ascii="Times New Roman" w:hAnsi="Times New Roman"/>
                <w:sz w:val="20"/>
                <w:szCs w:val="21"/>
              </w:rPr>
              <w:t xml:space="preserve">Consideration on whether the </w:t>
            </w:r>
            <w:r>
              <w:rPr>
                <w:rFonts w:ascii="Times New Roman" w:eastAsia="等线" w:hAnsi="Times New Roman"/>
                <w:sz w:val="20"/>
                <w:szCs w:val="21"/>
              </w:rPr>
              <w:t>single</w:t>
            </w:r>
            <w:r>
              <w:rPr>
                <w:rFonts w:ascii="Times New Roman" w:hAnsi="Times New Roman"/>
                <w:sz w:val="20"/>
                <w:szCs w:val="21"/>
              </w:rPr>
              <w:t xml:space="preserve"> sync</w:t>
            </w:r>
            <w:r>
              <w:rPr>
                <w:rFonts w:ascii="Times New Roman" w:eastAsia="等线" w:hAnsi="Times New Roman"/>
                <w:sz w:val="20"/>
                <w:szCs w:val="21"/>
              </w:rPr>
              <w:t xml:space="preserve"> signal structure</w:t>
            </w:r>
            <w:r>
              <w:rPr>
                <w:rFonts w:ascii="Times New Roman" w:hAnsi="Times New Roman"/>
                <w:sz w:val="20"/>
                <w:szCs w:val="21"/>
              </w:rPr>
              <w:t xml:space="preserve"> is</w:t>
            </w:r>
            <w:r>
              <w:rPr>
                <w:rFonts w:ascii="Times New Roman" w:eastAsia="等线" w:hAnsi="Times New Roman"/>
                <w:sz w:val="20"/>
                <w:szCs w:val="21"/>
              </w:rPr>
              <w:t xml:space="preserve"> sufficient</w:t>
            </w:r>
          </w:p>
          <w:p w14:paraId="762C2CAE" w14:textId="77777777" w:rsidR="00C41F5F" w:rsidRDefault="00832B23">
            <w:pPr>
              <w:pStyle w:val="a9"/>
              <w:numPr>
                <w:ilvl w:val="1"/>
                <w:numId w:val="25"/>
              </w:numPr>
              <w:spacing w:before="120" w:line="240" w:lineRule="auto"/>
              <w:rPr>
                <w:sz w:val="20"/>
              </w:rPr>
            </w:pPr>
            <w:r>
              <w:rPr>
                <w:rFonts w:ascii="Times New Roman" w:hAnsi="Times New Roman"/>
                <w:sz w:val="20"/>
                <w:szCs w:val="21"/>
              </w:rPr>
              <w:lastRenderedPageBreak/>
              <w:t xml:space="preserve">Note: Aspects impacting on the periodicity </w:t>
            </w:r>
            <w:r>
              <w:rPr>
                <w:rFonts w:ascii="Times New Roman" w:hAnsi="Times New Roman"/>
                <w:sz w:val="20"/>
                <w:szCs w:val="21"/>
              </w:rPr>
              <w:t>is to be discussed under AI11.5</w:t>
            </w:r>
          </w:p>
        </w:tc>
      </w:tr>
    </w:tbl>
    <w:p w14:paraId="7B686890" w14:textId="77777777" w:rsidR="00C41F5F" w:rsidRDefault="00832B23">
      <w:pPr>
        <w:spacing w:before="120" w:after="120"/>
        <w:rPr>
          <w:sz w:val="20"/>
        </w:rPr>
      </w:pPr>
      <w:r>
        <w:rPr>
          <w:sz w:val="20"/>
          <w:szCs w:val="18"/>
        </w:rPr>
        <w:lastRenderedPageBreak/>
        <w:t xml:space="preserve">Based on the above agreement, the views </w:t>
      </w:r>
      <w:r>
        <w:rPr>
          <w:sz w:val="20"/>
        </w:rPr>
        <w:t>on how to reflect these aspects in the sync signal design and others in initial access are elaborated.</w:t>
      </w:r>
    </w:p>
    <w:p w14:paraId="6F805AF0" w14:textId="77777777" w:rsidR="00C41F5F" w:rsidRDefault="00832B23">
      <w:pPr>
        <w:pStyle w:val="2"/>
        <w:keepNext w:val="0"/>
        <w:keepLines w:val="0"/>
        <w:numPr>
          <w:ilvl w:val="1"/>
          <w:numId w:val="1"/>
        </w:numPr>
        <w:spacing w:beforeLines="0" w:before="120" w:afterLines="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High-level design consideration</w:t>
      </w:r>
    </w:p>
    <w:p w14:paraId="2A2DA87E" w14:textId="77777777" w:rsidR="00C41F5F" w:rsidRDefault="00832B23">
      <w:pPr>
        <w:pStyle w:val="3"/>
        <w:numPr>
          <w:ilvl w:val="2"/>
          <w:numId w:val="1"/>
        </w:numPr>
        <w:spacing w:beforeLines="0" w:afterLines="0" w:line="260" w:lineRule="auto"/>
        <w:rPr>
          <w:b/>
          <w:bCs/>
          <w:sz w:val="22"/>
          <w:szCs w:val="22"/>
        </w:rPr>
      </w:pPr>
      <w:r>
        <w:rPr>
          <w:rFonts w:hint="eastAsia"/>
          <w:b/>
          <w:bCs/>
          <w:sz w:val="22"/>
          <w:szCs w:val="22"/>
        </w:rPr>
        <w:t>S</w:t>
      </w:r>
      <w:r>
        <w:rPr>
          <w:b/>
          <w:bCs/>
          <w:sz w:val="22"/>
          <w:szCs w:val="22"/>
        </w:rPr>
        <w:t>ync signal</w:t>
      </w:r>
    </w:p>
    <w:p w14:paraId="34A5B4A1" w14:textId="57ED7C46" w:rsidR="00C41F5F" w:rsidRDefault="00832B23">
      <w:pPr>
        <w:spacing w:before="120" w:after="120"/>
        <w:rPr>
          <w:sz w:val="20"/>
          <w:szCs w:val="18"/>
        </w:rPr>
      </w:pPr>
      <w:r>
        <w:rPr>
          <w:sz w:val="20"/>
          <w:szCs w:val="18"/>
        </w:rPr>
        <w:t xml:space="preserve">Based on </w:t>
      </w:r>
      <w:r>
        <w:rPr>
          <w:sz w:val="20"/>
        </w:rPr>
        <w:t>all these aspects mentioned</w:t>
      </w:r>
      <w:r>
        <w:rPr>
          <w:sz w:val="20"/>
        </w:rPr>
        <w:t xml:space="preserve"> in the agreement above, the following</w:t>
      </w:r>
      <w:r>
        <w:rPr>
          <w:sz w:val="20"/>
        </w:rPr>
        <w:t xml:space="preserve"> further</w:t>
      </w:r>
      <w:r>
        <w:rPr>
          <w:sz w:val="20"/>
        </w:rPr>
        <w:t xml:space="preserve"> considerations on the </w:t>
      </w:r>
      <w:r>
        <w:rPr>
          <w:sz w:val="20"/>
        </w:rPr>
        <w:t xml:space="preserve">sync-signal design are </w:t>
      </w:r>
      <w:r>
        <w:rPr>
          <w:sz w:val="20"/>
        </w:rPr>
        <w:t>described below</w:t>
      </w:r>
      <w:r>
        <w:rPr>
          <w:sz w:val="20"/>
        </w:rPr>
        <w:t>:</w:t>
      </w:r>
    </w:p>
    <w:p w14:paraId="540F4992" w14:textId="4E441FCB" w:rsidR="00C41F5F" w:rsidRDefault="00DE1177">
      <w:pPr>
        <w:pStyle w:val="af9"/>
        <w:numPr>
          <w:ilvl w:val="0"/>
          <w:numId w:val="26"/>
        </w:numPr>
        <w:adjustRightInd w:val="0"/>
        <w:snapToGrid w:val="0"/>
        <w:spacing w:before="120" w:after="120" w:line="240" w:lineRule="auto"/>
        <w:ind w:left="360"/>
        <w:contextualSpacing w:val="0"/>
        <w:rPr>
          <w:sz w:val="20"/>
          <w:szCs w:val="18"/>
        </w:rPr>
      </w:pPr>
      <w:r>
        <w:rPr>
          <w:sz w:val="20"/>
          <w:szCs w:val="18"/>
        </w:rPr>
        <w:t xml:space="preserve">Consideration on </w:t>
      </w:r>
      <w:r w:rsidR="00A70946">
        <w:rPr>
          <w:sz w:val="20"/>
          <w:szCs w:val="18"/>
        </w:rPr>
        <w:t>“</w:t>
      </w:r>
      <w:r>
        <w:rPr>
          <w:sz w:val="20"/>
          <w:szCs w:val="21"/>
        </w:rPr>
        <w:t xml:space="preserve">whether the </w:t>
      </w:r>
      <w:r>
        <w:rPr>
          <w:rFonts w:eastAsia="等线"/>
          <w:sz w:val="20"/>
          <w:szCs w:val="21"/>
        </w:rPr>
        <w:t>single</w:t>
      </w:r>
      <w:r>
        <w:rPr>
          <w:sz w:val="20"/>
          <w:szCs w:val="21"/>
        </w:rPr>
        <w:t xml:space="preserve"> sync</w:t>
      </w:r>
      <w:r>
        <w:rPr>
          <w:rFonts w:eastAsia="等线"/>
          <w:sz w:val="20"/>
          <w:szCs w:val="21"/>
        </w:rPr>
        <w:t xml:space="preserve"> signal structure</w:t>
      </w:r>
      <w:r>
        <w:rPr>
          <w:sz w:val="20"/>
          <w:szCs w:val="21"/>
        </w:rPr>
        <w:t xml:space="preserve"> is</w:t>
      </w:r>
      <w:r>
        <w:rPr>
          <w:rFonts w:eastAsia="等线"/>
          <w:sz w:val="20"/>
          <w:szCs w:val="21"/>
        </w:rPr>
        <w:t xml:space="preserve"> sufficient</w:t>
      </w:r>
      <w:r w:rsidR="00A70946">
        <w:rPr>
          <w:rFonts w:eastAsia="等线"/>
          <w:sz w:val="20"/>
          <w:szCs w:val="21"/>
        </w:rPr>
        <w:t>”</w:t>
      </w:r>
    </w:p>
    <w:p w14:paraId="61050D1D" w14:textId="20BAE92D" w:rsidR="00C41F5F" w:rsidRDefault="00832B23">
      <w:pPr>
        <w:pStyle w:val="af9"/>
        <w:adjustRightInd w:val="0"/>
        <w:snapToGrid w:val="0"/>
        <w:spacing w:before="120" w:after="120" w:line="240" w:lineRule="auto"/>
        <w:ind w:left="360"/>
        <w:contextualSpacing w:val="0"/>
        <w:rPr>
          <w:sz w:val="20"/>
          <w:szCs w:val="18"/>
        </w:rPr>
      </w:pPr>
      <w:r>
        <w:rPr>
          <w:sz w:val="20"/>
          <w:szCs w:val="18"/>
        </w:rPr>
        <w:t xml:space="preserve">The sync-signal is almost defined as the “always-on” signal to at least ensure the initial access (e.g., DL cell searching, initial synchronization) for </w:t>
      </w:r>
      <w:r>
        <w:rPr>
          <w:sz w:val="20"/>
          <w:szCs w:val="18"/>
        </w:rPr>
        <w:t xml:space="preserve">Pcell or anchor node. Comparing with LTE, the overhead of always-on signal is dramatically reduced </w:t>
      </w:r>
      <w:r>
        <w:rPr>
          <w:sz w:val="20"/>
          <w:szCs w:val="18"/>
        </w:rPr>
        <w:t xml:space="preserve">with removal of </w:t>
      </w:r>
      <w:r>
        <w:rPr>
          <w:sz w:val="20"/>
          <w:szCs w:val="18"/>
        </w:rPr>
        <w:t>CRS. The same principle should be kept to minimize the overhead of always-on signal. Additionally, the motivation of the introduction of multiple sync signal is unclear and potential benefits, e.g., to improve the accuracy along with la</w:t>
      </w:r>
      <w:r>
        <w:rPr>
          <w:sz w:val="20"/>
          <w:szCs w:val="18"/>
        </w:rPr>
        <w:t>rge periodicity for sycn-signal, improve the capacity to enable more deployment scenarios, can be achieved via the single sync signal based approach mentioned below. Then, it should be confirmed that only one sync signal is considered.</w:t>
      </w:r>
    </w:p>
    <w:p w14:paraId="18C2EE5C" w14:textId="7771B4CA" w:rsidR="00DE1177" w:rsidRDefault="00DE1177">
      <w:pPr>
        <w:pStyle w:val="af9"/>
        <w:numPr>
          <w:ilvl w:val="0"/>
          <w:numId w:val="26"/>
        </w:numPr>
        <w:adjustRightInd w:val="0"/>
        <w:snapToGrid w:val="0"/>
        <w:spacing w:before="120" w:after="120" w:line="240" w:lineRule="auto"/>
        <w:ind w:left="360"/>
        <w:contextualSpacing w:val="0"/>
        <w:rPr>
          <w:sz w:val="20"/>
          <w:szCs w:val="20"/>
        </w:rPr>
      </w:pPr>
      <w:r>
        <w:rPr>
          <w:sz w:val="20"/>
          <w:szCs w:val="20"/>
        </w:rPr>
        <w:t xml:space="preserve">Consideration on </w:t>
      </w:r>
      <w:r w:rsidR="00832B23">
        <w:rPr>
          <w:sz w:val="20"/>
          <w:szCs w:val="20"/>
        </w:rPr>
        <w:t>“</w:t>
      </w:r>
      <w:r>
        <w:rPr>
          <w:sz w:val="20"/>
          <w:szCs w:val="20"/>
        </w:rPr>
        <w:t>S</w:t>
      </w:r>
      <w:r>
        <w:rPr>
          <w:sz w:val="20"/>
          <w:szCs w:val="20"/>
        </w:rPr>
        <w:t xml:space="preserve">pectrum </w:t>
      </w:r>
      <w:r w:rsidR="00832B23">
        <w:rPr>
          <w:sz w:val="20"/>
          <w:szCs w:val="20"/>
        </w:rPr>
        <w:t>allocation</w:t>
      </w:r>
      <w:r w:rsidR="00832B23">
        <w:rPr>
          <w:sz w:val="20"/>
          <w:szCs w:val="20"/>
        </w:rPr>
        <w:t>”</w:t>
      </w:r>
      <w:r w:rsidR="00832B23">
        <w:rPr>
          <w:sz w:val="20"/>
          <w:szCs w:val="20"/>
        </w:rPr>
        <w:t xml:space="preserve">, </w:t>
      </w:r>
      <w:r w:rsidR="00832B23">
        <w:rPr>
          <w:sz w:val="20"/>
          <w:szCs w:val="20"/>
        </w:rPr>
        <w:t>“</w:t>
      </w:r>
      <w:r w:rsidR="00832B23">
        <w:rPr>
          <w:sz w:val="20"/>
          <w:szCs w:val="20"/>
        </w:rPr>
        <w:t xml:space="preserve">smallest </w:t>
      </w:r>
      <w:r>
        <w:rPr>
          <w:sz w:val="20"/>
          <w:szCs w:val="21"/>
        </w:rPr>
        <w:t>maximum supported RF and BB UE BW without spectrum aggregation</w:t>
      </w:r>
      <w:r w:rsidR="00832B23">
        <w:rPr>
          <w:sz w:val="20"/>
          <w:szCs w:val="20"/>
        </w:rPr>
        <w:t>”, “</w:t>
      </w:r>
      <w:r>
        <w:rPr>
          <w:sz w:val="20"/>
          <w:szCs w:val="20"/>
        </w:rPr>
        <w:t>common design for diverse device type</w:t>
      </w:r>
      <w:r w:rsidR="00832B23">
        <w:rPr>
          <w:sz w:val="20"/>
          <w:szCs w:val="20"/>
        </w:rPr>
        <w:t>” along with prioritized eMBB service</w:t>
      </w:r>
    </w:p>
    <w:p w14:paraId="19D4EB14" w14:textId="6952931F" w:rsidR="00C41F5F" w:rsidRDefault="00DE1177" w:rsidP="005C4F62">
      <w:pPr>
        <w:pStyle w:val="af9"/>
        <w:adjustRightInd w:val="0"/>
        <w:snapToGrid w:val="0"/>
        <w:spacing w:before="120" w:after="120" w:line="240" w:lineRule="auto"/>
        <w:ind w:left="360"/>
        <w:contextualSpacing w:val="0"/>
        <w:rPr>
          <w:sz w:val="20"/>
          <w:szCs w:val="20"/>
        </w:rPr>
      </w:pPr>
      <w:r>
        <w:rPr>
          <w:sz w:val="20"/>
          <w:szCs w:val="20"/>
        </w:rPr>
        <w:t xml:space="preserve">These impacts are </w:t>
      </w:r>
      <w:r w:rsidR="00832B23">
        <w:rPr>
          <w:sz w:val="20"/>
          <w:szCs w:val="20"/>
        </w:rPr>
        <w:t xml:space="preserve">mainly related </w:t>
      </w:r>
      <w:r w:rsidR="00832B23">
        <w:rPr>
          <w:sz w:val="20"/>
          <w:szCs w:val="20"/>
        </w:rPr>
        <w:t xml:space="preserve">to </w:t>
      </w:r>
      <w:r w:rsidR="00832B23">
        <w:rPr>
          <w:sz w:val="20"/>
          <w:szCs w:val="20"/>
        </w:rPr>
        <w:t>the assumed minimal bandwidth for network access. In our view, although the design with smaller ba</w:t>
      </w:r>
      <w:r w:rsidR="00832B23">
        <w:rPr>
          <w:sz w:val="20"/>
          <w:szCs w:val="20"/>
        </w:rPr>
        <w:t>ndwidth, e.g., 3MHz, is more applicable for the deployment with limited frequency resource, huge impacts on the performance for more typical eMBB scenario with larger bandwidth is expected. Then, it’s recommended to take the minimal bandwidth of 5 MHz with</w:t>
      </w:r>
      <w:r w:rsidR="00832B23">
        <w:rPr>
          <w:sz w:val="20"/>
          <w:szCs w:val="20"/>
        </w:rPr>
        <w:t xml:space="preserve"> 15 kHz SCS as the baseline. </w:t>
      </w:r>
    </w:p>
    <w:p w14:paraId="184B1411" w14:textId="1FE2F22B" w:rsidR="00C41F5F" w:rsidRDefault="00832B23">
      <w:pPr>
        <w:pStyle w:val="af9"/>
        <w:adjustRightInd w:val="0"/>
        <w:snapToGrid w:val="0"/>
        <w:spacing w:before="120" w:after="120" w:line="240" w:lineRule="auto"/>
        <w:ind w:left="360"/>
        <w:contextualSpacing w:val="0"/>
        <w:rPr>
          <w:sz w:val="20"/>
          <w:szCs w:val="20"/>
        </w:rPr>
      </w:pPr>
      <w:r>
        <w:rPr>
          <w:sz w:val="20"/>
          <w:szCs w:val="20"/>
        </w:rPr>
        <w:t xml:space="preserve">Additionally, to enable the </w:t>
      </w:r>
      <w:r>
        <w:rPr>
          <w:rFonts w:eastAsia="宋体" w:hint="eastAsia"/>
          <w:sz w:val="20"/>
          <w:szCs w:val="20"/>
        </w:rPr>
        <w:t>operation</w:t>
      </w:r>
      <w:r>
        <w:rPr>
          <w:sz w:val="20"/>
          <w:szCs w:val="20"/>
        </w:rPr>
        <w:t xml:space="preserve"> with </w:t>
      </w:r>
      <w:r>
        <w:rPr>
          <w:sz w:val="20"/>
          <w:szCs w:val="20"/>
        </w:rPr>
        <w:t>&lt;=</w:t>
      </w:r>
      <w:r>
        <w:rPr>
          <w:sz w:val="20"/>
          <w:szCs w:val="20"/>
        </w:rPr>
        <w:t>3 MHz bandwidth, e.g, in the case that part of SSB BW still exceeds the carrier bandwidth, on top of design based on wider band, some additional improvements, approaches, e.g.,</w:t>
      </w:r>
      <w:r>
        <w:rPr>
          <w:rFonts w:hint="eastAsia"/>
          <w:sz w:val="20"/>
          <w:szCs w:val="20"/>
        </w:rPr>
        <w:t>p</w:t>
      </w:r>
      <w:r>
        <w:rPr>
          <w:sz w:val="20"/>
          <w:szCs w:val="20"/>
        </w:rPr>
        <w:t>uncturing based SSB transmission with corresponding enhancement</w:t>
      </w:r>
      <w:r>
        <w:rPr>
          <w:rFonts w:hint="eastAsia"/>
          <w:sz w:val="20"/>
          <w:szCs w:val="20"/>
        </w:rPr>
        <w:t xml:space="preserve"> or </w:t>
      </w:r>
      <w:r>
        <w:rPr>
          <w:sz w:val="20"/>
          <w:szCs w:val="20"/>
        </w:rPr>
        <w:t xml:space="preserve">multiple SSB parts based approaches </w:t>
      </w:r>
      <w:r>
        <w:rPr>
          <w:rFonts w:hint="eastAsia"/>
          <w:sz w:val="20"/>
          <w:szCs w:val="20"/>
        </w:rPr>
        <w:t xml:space="preserve">can be </w:t>
      </w:r>
      <w:r>
        <w:rPr>
          <w:sz w:val="20"/>
          <w:szCs w:val="20"/>
        </w:rPr>
        <w:t xml:space="preserve">further </w:t>
      </w:r>
      <w:r>
        <w:rPr>
          <w:rFonts w:hint="eastAsia"/>
          <w:sz w:val="20"/>
          <w:szCs w:val="20"/>
        </w:rPr>
        <w:t>considered</w:t>
      </w:r>
      <w:r>
        <w:rPr>
          <w:sz w:val="20"/>
          <w:szCs w:val="20"/>
        </w:rPr>
        <w:t xml:space="preserve"> based on the trade-off between performance and complexity, </w:t>
      </w:r>
    </w:p>
    <w:p w14:paraId="134D93B0" w14:textId="77777777" w:rsidR="00C41F5F" w:rsidRDefault="00832B23">
      <w:pPr>
        <w:pStyle w:val="af9"/>
        <w:adjustRightInd w:val="0"/>
        <w:snapToGrid w:val="0"/>
        <w:spacing w:before="120" w:after="120" w:line="240" w:lineRule="auto"/>
        <w:ind w:left="300" w:firstLine="60"/>
        <w:contextualSpacing w:val="0"/>
        <w:rPr>
          <w:sz w:val="20"/>
          <w:szCs w:val="20"/>
        </w:rPr>
      </w:pPr>
      <w:r>
        <w:rPr>
          <w:sz w:val="20"/>
          <w:szCs w:val="20"/>
        </w:rPr>
        <w:t>Meanwhile, sparser sync raster can also be considered to reduce th</w:t>
      </w:r>
      <w:r>
        <w:rPr>
          <w:sz w:val="20"/>
          <w:szCs w:val="20"/>
        </w:rPr>
        <w:t xml:space="preserve">e UE energy consumption on cell search. </w:t>
      </w:r>
    </w:p>
    <w:p w14:paraId="0EE376C0" w14:textId="6071104B" w:rsidR="008F1003" w:rsidRDefault="008F1003">
      <w:pPr>
        <w:pStyle w:val="af9"/>
        <w:numPr>
          <w:ilvl w:val="0"/>
          <w:numId w:val="26"/>
        </w:numPr>
        <w:adjustRightInd w:val="0"/>
        <w:snapToGrid w:val="0"/>
        <w:spacing w:before="120" w:after="120" w:line="240" w:lineRule="auto"/>
        <w:ind w:left="360"/>
        <w:contextualSpacing w:val="0"/>
        <w:rPr>
          <w:sz w:val="20"/>
          <w:szCs w:val="20"/>
        </w:rPr>
      </w:pPr>
      <w:r>
        <w:rPr>
          <w:sz w:val="20"/>
          <w:szCs w:val="20"/>
        </w:rPr>
        <w:t>Consideration on “C</w:t>
      </w:r>
      <w:r w:rsidR="00832B23">
        <w:rPr>
          <w:sz w:val="20"/>
          <w:szCs w:val="20"/>
        </w:rPr>
        <w:t xml:space="preserve">overage </w:t>
      </w:r>
      <w:r>
        <w:rPr>
          <w:sz w:val="20"/>
          <w:szCs w:val="20"/>
        </w:rPr>
        <w:t xml:space="preserve">target” </w:t>
      </w:r>
      <w:r w:rsidR="00832B23">
        <w:rPr>
          <w:sz w:val="20"/>
          <w:szCs w:val="20"/>
        </w:rPr>
        <w:t xml:space="preserve">and various </w:t>
      </w:r>
      <w:r>
        <w:rPr>
          <w:sz w:val="20"/>
          <w:szCs w:val="20"/>
        </w:rPr>
        <w:t>“</w:t>
      </w:r>
      <w:r w:rsidR="00832B23">
        <w:rPr>
          <w:sz w:val="20"/>
          <w:szCs w:val="20"/>
        </w:rPr>
        <w:t>supported deployment</w:t>
      </w:r>
      <w:r>
        <w:rPr>
          <w:sz w:val="20"/>
          <w:szCs w:val="20"/>
        </w:rPr>
        <w:t>”</w:t>
      </w:r>
      <w:r w:rsidR="00832B23">
        <w:rPr>
          <w:sz w:val="20"/>
          <w:szCs w:val="20"/>
        </w:rPr>
        <w:t xml:space="preserve"> (e.g., NTN, mTRP) </w:t>
      </w:r>
    </w:p>
    <w:p w14:paraId="222793AB" w14:textId="3DC5E38B" w:rsidR="00C41F5F" w:rsidRDefault="008F1003" w:rsidP="005C4F62">
      <w:pPr>
        <w:pStyle w:val="af9"/>
        <w:adjustRightInd w:val="0"/>
        <w:snapToGrid w:val="0"/>
        <w:spacing w:before="120" w:after="120" w:line="240" w:lineRule="auto"/>
        <w:ind w:left="360"/>
        <w:contextualSpacing w:val="0"/>
        <w:rPr>
          <w:sz w:val="20"/>
          <w:szCs w:val="20"/>
        </w:rPr>
      </w:pPr>
      <w:r>
        <w:rPr>
          <w:sz w:val="20"/>
          <w:szCs w:val="20"/>
        </w:rPr>
        <w:t>In general, e</w:t>
      </w:r>
      <w:r w:rsidR="00832B23">
        <w:rPr>
          <w:sz w:val="20"/>
          <w:szCs w:val="20"/>
        </w:rPr>
        <w:t xml:space="preserve">nabling </w:t>
      </w:r>
      <w:r w:rsidR="00832B23">
        <w:rPr>
          <w:sz w:val="20"/>
          <w:szCs w:val="20"/>
        </w:rPr>
        <w:t>larger number of sync-signal provide</w:t>
      </w:r>
      <w:r w:rsidR="00832B23">
        <w:rPr>
          <w:sz w:val="20"/>
          <w:szCs w:val="20"/>
        </w:rPr>
        <w:t>s</w:t>
      </w:r>
      <w:r w:rsidR="00832B23">
        <w:rPr>
          <w:sz w:val="20"/>
          <w:szCs w:val="20"/>
        </w:rPr>
        <w:t xml:space="preserve"> more flexibility. More specifically, the increased number of SSBs is</w:t>
      </w:r>
      <w:r w:rsidR="00832B23">
        <w:rPr>
          <w:sz w:val="20"/>
          <w:szCs w:val="20"/>
        </w:rPr>
        <w:t xml:space="preserve"> considered along with application of more advanced MIMO solutions and array size at BS side. For example, more SSBs are supported in FR2-1 compared to FR1 in 5G NR. For 6GR, considering the usage of new spectrum around 7 GHz, e.g., U6GHz, m</w:t>
      </w:r>
      <w:r w:rsidR="00832B23">
        <w:rPr>
          <w:rFonts w:hint="eastAsia"/>
          <w:sz w:val="20"/>
          <w:szCs w:val="20"/>
        </w:rPr>
        <w:t xml:space="preserve">ore SSBs </w:t>
      </w:r>
      <w:r w:rsidR="00832B23">
        <w:rPr>
          <w:sz w:val="20"/>
          <w:szCs w:val="20"/>
        </w:rPr>
        <w:t xml:space="preserve">seems </w:t>
      </w:r>
      <w:r w:rsidR="00832B23">
        <w:rPr>
          <w:sz w:val="20"/>
          <w:szCs w:val="20"/>
        </w:rPr>
        <w:t>to be an effective</w:t>
      </w:r>
      <w:r w:rsidR="00832B23">
        <w:rPr>
          <w:sz w:val="20"/>
          <w:szCs w:val="20"/>
        </w:rPr>
        <w:t xml:space="preserve"> way to </w:t>
      </w:r>
      <w:r w:rsidR="00832B23">
        <w:rPr>
          <w:rFonts w:hint="eastAsia"/>
          <w:sz w:val="20"/>
          <w:szCs w:val="20"/>
        </w:rPr>
        <w:t>improve coverage performance</w:t>
      </w:r>
      <w:r w:rsidR="00832B23">
        <w:rPr>
          <w:sz w:val="20"/>
          <w:szCs w:val="20"/>
        </w:rPr>
        <w:t xml:space="preserve"> along with harvesting of beamforming gain at base station side. </w:t>
      </w:r>
    </w:p>
    <w:p w14:paraId="6358BA98" w14:textId="77777777" w:rsidR="00C41F5F" w:rsidRDefault="00832B23">
      <w:pPr>
        <w:pStyle w:val="af9"/>
        <w:adjustRightInd w:val="0"/>
        <w:snapToGrid w:val="0"/>
        <w:spacing w:before="120" w:after="120" w:line="240" w:lineRule="auto"/>
        <w:ind w:left="360"/>
        <w:contextualSpacing w:val="0"/>
        <w:rPr>
          <w:sz w:val="20"/>
          <w:szCs w:val="20"/>
        </w:rPr>
      </w:pPr>
      <w:r>
        <w:rPr>
          <w:sz w:val="20"/>
          <w:szCs w:val="20"/>
        </w:rPr>
        <w:t xml:space="preserve">Additionally, for some scenarios, e.g., </w:t>
      </w:r>
      <w:r>
        <w:rPr>
          <w:rFonts w:hint="eastAsia"/>
          <w:sz w:val="20"/>
          <w:szCs w:val="20"/>
        </w:rPr>
        <w:t>NTN</w:t>
      </w:r>
      <w:r>
        <w:rPr>
          <w:sz w:val="20"/>
          <w:szCs w:val="20"/>
        </w:rPr>
        <w:t>, cell-free/</w:t>
      </w:r>
      <w:r>
        <w:rPr>
          <w:rFonts w:eastAsia="宋体" w:hint="eastAsia"/>
          <w:sz w:val="20"/>
          <w:szCs w:val="20"/>
        </w:rPr>
        <w:t>mTRP</w:t>
      </w:r>
      <w:r>
        <w:rPr>
          <w:sz w:val="20"/>
          <w:szCs w:val="20"/>
        </w:rPr>
        <w:t xml:space="preserve"> and NCR/RIS as shown in Figure 6-1, the increase of the supported candidate SSBs will also improve deployment flexibility, e.g., beam hopping for NTN and TRP/AP level-awareness for cell-free</w:t>
      </w:r>
      <w:r>
        <w:rPr>
          <w:rFonts w:hint="eastAsia"/>
          <w:sz w:val="20"/>
          <w:szCs w:val="20"/>
        </w:rPr>
        <w:t>.</w:t>
      </w:r>
      <w:r>
        <w:rPr>
          <w:sz w:val="20"/>
          <w:szCs w:val="20"/>
        </w:rPr>
        <w:t xml:space="preserve"> </w:t>
      </w:r>
    </w:p>
    <w:p w14:paraId="5DFB5141" w14:textId="77777777" w:rsidR="00C41F5F" w:rsidRDefault="00832B23">
      <w:pPr>
        <w:pStyle w:val="af9"/>
        <w:adjustRightInd w:val="0"/>
        <w:snapToGrid w:val="0"/>
        <w:spacing w:before="120" w:after="120" w:line="240" w:lineRule="auto"/>
        <w:ind w:left="360"/>
        <w:contextualSpacing w:val="0"/>
        <w:jc w:val="center"/>
        <w:rPr>
          <w:sz w:val="20"/>
          <w:szCs w:val="20"/>
        </w:rPr>
      </w:pPr>
      <w:r>
        <w:rPr>
          <w:noProof/>
          <w:sz w:val="20"/>
          <w:szCs w:val="20"/>
        </w:rPr>
        <w:drawing>
          <wp:inline distT="0" distB="0" distL="0" distR="0" wp14:anchorId="0C0893AF" wp14:editId="40164A29">
            <wp:extent cx="4291330" cy="1684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98903" cy="1687868"/>
                    </a:xfrm>
                    <a:prstGeom prst="rect">
                      <a:avLst/>
                    </a:prstGeom>
                    <a:noFill/>
                  </pic:spPr>
                </pic:pic>
              </a:graphicData>
            </a:graphic>
          </wp:inline>
        </w:drawing>
      </w:r>
    </w:p>
    <w:p w14:paraId="0D690402" w14:textId="77777777" w:rsidR="00C41F5F" w:rsidRDefault="00832B23">
      <w:pPr>
        <w:pStyle w:val="a4"/>
        <w:spacing w:before="120" w:after="120"/>
        <w:ind w:left="360"/>
        <w:jc w:val="center"/>
        <w:rPr>
          <w:rFonts w:ascii="Times New Roman" w:hAnsi="Times New Roman"/>
        </w:rPr>
      </w:pPr>
      <w:r>
        <w:rPr>
          <w:rFonts w:ascii="Times New Roman" w:hAnsi="Times New Roman"/>
        </w:rPr>
        <w:lastRenderedPageBreak/>
        <w:t>Figure 6-1</w:t>
      </w:r>
      <w:r>
        <w:rPr>
          <w:rFonts w:ascii="Times New Roman" w:eastAsia="宋体" w:hAnsi="Times New Roman"/>
        </w:rPr>
        <w:t xml:space="preserve"> </w:t>
      </w:r>
      <w:r>
        <w:rPr>
          <w:rFonts w:ascii="Times New Roman" w:hAnsi="Times New Roman"/>
        </w:rPr>
        <w:t>Illustration of scenarios with more required SSBs</w:t>
      </w:r>
    </w:p>
    <w:p w14:paraId="10CB6897" w14:textId="77777777" w:rsidR="00C41F5F" w:rsidRDefault="00832B23">
      <w:pPr>
        <w:pStyle w:val="af9"/>
        <w:adjustRightInd w:val="0"/>
        <w:snapToGrid w:val="0"/>
        <w:spacing w:before="120" w:after="120" w:line="240" w:lineRule="auto"/>
        <w:ind w:left="360"/>
        <w:contextualSpacing w:val="0"/>
        <w:rPr>
          <w:sz w:val="20"/>
          <w:szCs w:val="20"/>
        </w:rPr>
      </w:pPr>
      <w:r>
        <w:rPr>
          <w:sz w:val="20"/>
          <w:szCs w:val="20"/>
        </w:rPr>
        <w:t>To achieve this, detailed solutions, e.g., optimized TDMed allocation, CDMed/FDMed approaches can be considered along with other identified restriction. Regarding the concerns on potential overhead, except for the longer periodicity mentioned above, the m</w:t>
      </w:r>
      <w:r>
        <w:rPr>
          <w:sz w:val="20"/>
          <w:szCs w:val="20"/>
        </w:rPr>
        <w:t xml:space="preserve">echanism to enable transmission of SSBs in different granularity can also be considered (e.g., on-demand). Moreover, to reduce UE power consumption of SSB searching, two-stage SSB mentioned in </w:t>
      </w:r>
      <w:r>
        <w:rPr>
          <w:sz w:val="20"/>
          <w:szCs w:val="20"/>
        </w:rPr>
        <w:fldChar w:fldCharType="begin"/>
      </w:r>
      <w:r>
        <w:rPr>
          <w:sz w:val="20"/>
          <w:szCs w:val="20"/>
        </w:rPr>
        <w:instrText xml:space="preserve"> REF _Ref205908397 \r \h  \* MERGEFORMAT </w:instrText>
      </w:r>
      <w:r>
        <w:rPr>
          <w:sz w:val="20"/>
          <w:szCs w:val="20"/>
        </w:rPr>
      </w:r>
      <w:r>
        <w:rPr>
          <w:sz w:val="20"/>
          <w:szCs w:val="20"/>
        </w:rPr>
        <w:fldChar w:fldCharType="separate"/>
      </w:r>
      <w:r>
        <w:rPr>
          <w:sz w:val="20"/>
          <w:szCs w:val="20"/>
        </w:rPr>
        <w:t>[11]</w:t>
      </w:r>
      <w:r>
        <w:rPr>
          <w:sz w:val="20"/>
          <w:szCs w:val="20"/>
        </w:rPr>
        <w:fldChar w:fldCharType="end"/>
      </w:r>
      <w:r>
        <w:rPr>
          <w:sz w:val="20"/>
          <w:szCs w:val="20"/>
        </w:rPr>
        <w:t xml:space="preserve"> can be considered.</w:t>
      </w:r>
    </w:p>
    <w:p w14:paraId="0E2E893E" w14:textId="0EC7FAE6" w:rsidR="00A70946" w:rsidRDefault="00A70946">
      <w:pPr>
        <w:pStyle w:val="af9"/>
        <w:numPr>
          <w:ilvl w:val="0"/>
          <w:numId w:val="26"/>
        </w:numPr>
        <w:adjustRightInd w:val="0"/>
        <w:snapToGrid w:val="0"/>
        <w:spacing w:before="120" w:after="120" w:line="240" w:lineRule="auto"/>
        <w:ind w:left="360"/>
        <w:contextualSpacing w:val="0"/>
        <w:rPr>
          <w:sz w:val="20"/>
          <w:szCs w:val="20"/>
        </w:rPr>
      </w:pPr>
      <w:r>
        <w:rPr>
          <w:sz w:val="20"/>
          <w:szCs w:val="20"/>
        </w:rPr>
        <w:t>Consideration on “</w:t>
      </w:r>
      <w:r w:rsidR="00832B23">
        <w:rPr>
          <w:sz w:val="20"/>
          <w:szCs w:val="20"/>
        </w:rPr>
        <w:t xml:space="preserve">energy </w:t>
      </w:r>
      <w:r w:rsidR="00832B23">
        <w:rPr>
          <w:sz w:val="20"/>
          <w:szCs w:val="20"/>
        </w:rPr>
        <w:t>efficiency for both BS and UE</w:t>
      </w:r>
      <w:r>
        <w:rPr>
          <w:sz w:val="20"/>
          <w:szCs w:val="20"/>
        </w:rPr>
        <w:t>”</w:t>
      </w:r>
      <w:r w:rsidR="00832B23">
        <w:rPr>
          <w:sz w:val="20"/>
          <w:szCs w:val="20"/>
        </w:rPr>
        <w:t xml:space="preserve"> and </w:t>
      </w:r>
      <w:r>
        <w:rPr>
          <w:sz w:val="20"/>
          <w:szCs w:val="20"/>
        </w:rPr>
        <w:t>“</w:t>
      </w:r>
      <w:r w:rsidR="00832B23">
        <w:rPr>
          <w:sz w:val="20"/>
          <w:szCs w:val="20"/>
        </w:rPr>
        <w:t>performance</w:t>
      </w:r>
      <w:r>
        <w:rPr>
          <w:sz w:val="20"/>
          <w:szCs w:val="20"/>
        </w:rPr>
        <w:t xml:space="preserve">” </w:t>
      </w:r>
      <w:r w:rsidR="00832B23">
        <w:rPr>
          <w:sz w:val="20"/>
          <w:szCs w:val="20"/>
        </w:rPr>
        <w:t>(e.g., detection/tracking</w:t>
      </w:r>
      <w:r>
        <w:rPr>
          <w:sz w:val="20"/>
          <w:szCs w:val="20"/>
        </w:rPr>
        <w:t>)</w:t>
      </w:r>
    </w:p>
    <w:p w14:paraId="2C8710A7" w14:textId="3EBDBDE0" w:rsidR="00C41F5F" w:rsidRDefault="00A70946">
      <w:pPr>
        <w:pStyle w:val="af9"/>
        <w:adjustRightInd w:val="0"/>
        <w:snapToGrid w:val="0"/>
        <w:spacing w:before="120" w:after="120" w:line="240" w:lineRule="auto"/>
        <w:ind w:left="360"/>
        <w:contextualSpacing w:val="0"/>
        <w:rPr>
          <w:sz w:val="20"/>
          <w:szCs w:val="20"/>
        </w:rPr>
      </w:pPr>
      <w:r w:rsidRPr="005C4F62">
        <w:rPr>
          <w:sz w:val="20"/>
          <w:szCs w:val="20"/>
        </w:rPr>
        <w:t>I</w:t>
      </w:r>
      <w:r w:rsidR="00832B23">
        <w:rPr>
          <w:sz w:val="20"/>
          <w:szCs w:val="20"/>
        </w:rPr>
        <w:t>n general, enabling the larger SSB periodicity can be considered wi</w:t>
      </w:r>
      <w:r w:rsidR="00832B23">
        <w:rPr>
          <w:sz w:val="20"/>
          <w:szCs w:val="20"/>
        </w:rPr>
        <w:t xml:space="preserve">th additional optimization. </w:t>
      </w:r>
      <w:r w:rsidR="00832B23">
        <w:rPr>
          <w:sz w:val="20"/>
          <w:szCs w:val="20"/>
        </w:rPr>
        <w:t>More specifically, as identified in 5G-A, the larger SSB periodicity for both initial access and following measurement is beneficial to NES, and provides greater flexibility for beam hopping under NTN. Additionally, the overhea</w:t>
      </w:r>
      <w:r w:rsidR="00832B23">
        <w:rPr>
          <w:sz w:val="20"/>
          <w:szCs w:val="20"/>
        </w:rPr>
        <w:t>d of the common channel (e.g., SIB1), can also be further reduced to improve the overall resource utilization, especially when the supported number of candidate SSBs increases.</w:t>
      </w:r>
      <w:r w:rsidR="00832B23">
        <w:rPr>
          <w:rFonts w:hint="eastAsia"/>
          <w:sz w:val="20"/>
          <w:szCs w:val="20"/>
        </w:rPr>
        <w:t xml:space="preserve"> </w:t>
      </w:r>
      <w:r w:rsidR="00832B23">
        <w:rPr>
          <w:sz w:val="20"/>
          <w:szCs w:val="20"/>
        </w:rPr>
        <w:t>Therefore, in 6GR, the extension of SSB periodicity compared to 5G NR is recomm</w:t>
      </w:r>
      <w:r w:rsidR="00832B23">
        <w:rPr>
          <w:sz w:val="20"/>
          <w:szCs w:val="20"/>
        </w:rPr>
        <w:t xml:space="preserve">ended as a basic assumption. </w:t>
      </w:r>
    </w:p>
    <w:p w14:paraId="54969130" w14:textId="77777777" w:rsidR="00C41F5F" w:rsidRDefault="00832B23">
      <w:pPr>
        <w:pStyle w:val="af9"/>
        <w:adjustRightInd w:val="0"/>
        <w:snapToGrid w:val="0"/>
        <w:spacing w:before="120" w:after="120" w:line="240" w:lineRule="auto"/>
        <w:ind w:left="360"/>
        <w:contextualSpacing w:val="0"/>
        <w:rPr>
          <w:sz w:val="20"/>
          <w:szCs w:val="20"/>
        </w:rPr>
      </w:pPr>
      <w:r>
        <w:rPr>
          <w:sz w:val="20"/>
          <w:szCs w:val="20"/>
        </w:rPr>
        <w:t>Regarding the potential impacts, e.g., performance</w:t>
      </w:r>
      <w:r>
        <w:rPr>
          <w:rFonts w:eastAsia="宋体" w:hint="eastAsia"/>
          <w:sz w:val="20"/>
          <w:szCs w:val="20"/>
        </w:rPr>
        <w:t>/latency</w:t>
      </w:r>
      <w:r>
        <w:rPr>
          <w:sz w:val="20"/>
          <w:szCs w:val="20"/>
        </w:rPr>
        <w:t xml:space="preserve"> for SSB detection/measurement, UE complexity, additional consideration/enhancement can be taken into </w:t>
      </w:r>
      <w:r>
        <w:rPr>
          <w:rFonts w:eastAsia="宋体" w:hint="eastAsia"/>
          <w:sz w:val="20"/>
          <w:szCs w:val="20"/>
        </w:rPr>
        <w:t>account</w:t>
      </w:r>
      <w:r>
        <w:rPr>
          <w:sz w:val="20"/>
          <w:szCs w:val="20"/>
        </w:rPr>
        <w:t>, e.g., by enabling intra-period combination as shown in Fi</w:t>
      </w:r>
      <w:r>
        <w:rPr>
          <w:sz w:val="20"/>
          <w:szCs w:val="20"/>
        </w:rPr>
        <w:t xml:space="preserve">gure 6-2, </w:t>
      </w:r>
      <w:r>
        <w:rPr>
          <w:rFonts w:eastAsia="宋体" w:hint="eastAsia"/>
          <w:sz w:val="20"/>
          <w:szCs w:val="20"/>
        </w:rPr>
        <w:t xml:space="preserve">and </w:t>
      </w:r>
      <w:r>
        <w:rPr>
          <w:sz w:val="20"/>
          <w:szCs w:val="20"/>
        </w:rPr>
        <w:t xml:space="preserve">SSB muting pattern mentioned in </w:t>
      </w:r>
      <w:r>
        <w:rPr>
          <w:sz w:val="20"/>
          <w:szCs w:val="20"/>
        </w:rPr>
        <w:fldChar w:fldCharType="begin"/>
      </w:r>
      <w:r>
        <w:rPr>
          <w:sz w:val="20"/>
          <w:szCs w:val="20"/>
        </w:rPr>
        <w:instrText xml:space="preserve"> REF _Ref205908397 \r \h  \* MERGEFORMAT </w:instrText>
      </w:r>
      <w:r>
        <w:rPr>
          <w:sz w:val="20"/>
          <w:szCs w:val="20"/>
        </w:rPr>
      </w:r>
      <w:r>
        <w:rPr>
          <w:sz w:val="20"/>
          <w:szCs w:val="20"/>
        </w:rPr>
        <w:fldChar w:fldCharType="separate"/>
      </w:r>
      <w:r>
        <w:rPr>
          <w:sz w:val="20"/>
          <w:szCs w:val="20"/>
        </w:rPr>
        <w:t>[11]</w:t>
      </w:r>
      <w:r>
        <w:rPr>
          <w:sz w:val="20"/>
          <w:szCs w:val="20"/>
        </w:rPr>
        <w:fldChar w:fldCharType="end"/>
      </w:r>
      <w:r>
        <w:rPr>
          <w:sz w:val="20"/>
          <w:szCs w:val="20"/>
        </w:rPr>
        <w:t xml:space="preserve">. </w:t>
      </w:r>
    </w:p>
    <w:p w14:paraId="2F4CB2F5" w14:textId="77777777" w:rsidR="00C41F5F" w:rsidRDefault="00832B23">
      <w:pPr>
        <w:keepNext/>
        <w:spacing w:before="120" w:after="120"/>
        <w:jc w:val="center"/>
        <w:rPr>
          <w:sz w:val="20"/>
        </w:rPr>
      </w:pPr>
      <w:r>
        <w:rPr>
          <w:noProof/>
          <w:sz w:val="20"/>
        </w:rPr>
        <w:drawing>
          <wp:inline distT="0" distB="0" distL="114300" distR="114300" wp14:anchorId="3227D977" wp14:editId="3DCE8A84">
            <wp:extent cx="3072130" cy="910590"/>
            <wp:effectExtent l="0" t="0" r="635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3"/>
                    <a:stretch>
                      <a:fillRect/>
                    </a:stretch>
                  </pic:blipFill>
                  <pic:spPr>
                    <a:xfrm>
                      <a:off x="0" y="0"/>
                      <a:ext cx="3072130" cy="910590"/>
                    </a:xfrm>
                    <a:prstGeom prst="rect">
                      <a:avLst/>
                    </a:prstGeom>
                    <a:noFill/>
                    <a:ln>
                      <a:noFill/>
                    </a:ln>
                  </pic:spPr>
                </pic:pic>
              </a:graphicData>
            </a:graphic>
          </wp:inline>
        </w:drawing>
      </w:r>
    </w:p>
    <w:p w14:paraId="2C7A36A6" w14:textId="77777777" w:rsidR="00C41F5F" w:rsidRDefault="00832B23">
      <w:pPr>
        <w:pStyle w:val="a4"/>
        <w:spacing w:before="120" w:after="120"/>
        <w:jc w:val="center"/>
        <w:rPr>
          <w:rFonts w:ascii="Times New Roman" w:hAnsi="Times New Roman"/>
        </w:rPr>
      </w:pPr>
      <w:r>
        <w:rPr>
          <w:rFonts w:ascii="Times New Roman" w:hAnsi="Times New Roman"/>
        </w:rPr>
        <w:t>Figure 6-2 Example of SSB periodicity with intra-period combination</w:t>
      </w:r>
    </w:p>
    <w:p w14:paraId="678F4961" w14:textId="77777777" w:rsidR="00C41F5F" w:rsidRDefault="00832B23">
      <w:pPr>
        <w:pStyle w:val="af9"/>
        <w:adjustRightInd w:val="0"/>
        <w:snapToGrid w:val="0"/>
        <w:spacing w:before="120" w:after="120" w:line="240" w:lineRule="auto"/>
        <w:ind w:left="360"/>
        <w:contextualSpacing w:val="0"/>
        <w:rPr>
          <w:sz w:val="20"/>
          <w:szCs w:val="20"/>
        </w:rPr>
      </w:pPr>
      <w:r>
        <w:rPr>
          <w:sz w:val="20"/>
          <w:szCs w:val="20"/>
        </w:rPr>
        <w:t>Additionally, the followi</w:t>
      </w:r>
      <w:r>
        <w:rPr>
          <w:sz w:val="20"/>
          <w:szCs w:val="20"/>
        </w:rPr>
        <w:t>ng approaches can also be considered to improve the performance:</w:t>
      </w:r>
    </w:p>
    <w:p w14:paraId="7EFF0E96" w14:textId="77777777" w:rsidR="00C41F5F" w:rsidRDefault="00832B23">
      <w:pPr>
        <w:pStyle w:val="af9"/>
        <w:numPr>
          <w:ilvl w:val="1"/>
          <w:numId w:val="26"/>
        </w:numPr>
        <w:adjustRightInd w:val="0"/>
        <w:snapToGrid w:val="0"/>
        <w:spacing w:before="120" w:after="120" w:line="240" w:lineRule="auto"/>
        <w:ind w:left="1080"/>
        <w:contextualSpacing w:val="0"/>
        <w:rPr>
          <w:sz w:val="20"/>
          <w:szCs w:val="20"/>
        </w:rPr>
      </w:pPr>
      <w:r>
        <w:rPr>
          <w:rFonts w:hint="eastAsia"/>
          <w:sz w:val="20"/>
          <w:szCs w:val="20"/>
        </w:rPr>
        <w:t>SSB grouping/clustering</w:t>
      </w:r>
      <w:r>
        <w:rPr>
          <w:sz w:val="20"/>
          <w:szCs w:val="20"/>
        </w:rPr>
        <w:t>:</w:t>
      </w:r>
    </w:p>
    <w:p w14:paraId="19DF9677" w14:textId="77777777" w:rsidR="00C41F5F" w:rsidRDefault="00832B23">
      <w:pPr>
        <w:spacing w:before="120" w:after="120"/>
        <w:ind w:left="1080"/>
        <w:rPr>
          <w:sz w:val="20"/>
        </w:rPr>
      </w:pPr>
      <w:r>
        <w:rPr>
          <w:sz w:val="20"/>
        </w:rPr>
        <w:t xml:space="preserve">Regarding the transmission of SSB, various requirements arise under different deployment scenarios and design considerations. For instance, different SSB bandwidths may be required to accommodate varying carrier or UE bandwidths; </w:t>
      </w:r>
      <w:r>
        <w:rPr>
          <w:rFonts w:hint="eastAsia"/>
          <w:sz w:val="20"/>
        </w:rPr>
        <w:t xml:space="preserve">larger </w:t>
      </w:r>
      <w:r>
        <w:rPr>
          <w:sz w:val="20"/>
        </w:rPr>
        <w:t xml:space="preserve">periodic </w:t>
      </w:r>
      <w:r>
        <w:rPr>
          <w:rFonts w:hint="eastAsia"/>
          <w:sz w:val="20"/>
        </w:rPr>
        <w:t xml:space="preserve">or </w:t>
      </w:r>
      <w:r>
        <w:rPr>
          <w:sz w:val="20"/>
        </w:rPr>
        <w:t>on-dema</w:t>
      </w:r>
      <w:r>
        <w:rPr>
          <w:sz w:val="20"/>
        </w:rPr>
        <w:t>nd transmission may be needed for network energy saving (NES); and diverse structures or contents</w:t>
      </w:r>
      <w:r>
        <w:rPr>
          <w:rFonts w:hint="eastAsia"/>
          <w:sz w:val="20"/>
        </w:rPr>
        <w:t xml:space="preserve">, </w:t>
      </w:r>
      <w:r>
        <w:rPr>
          <w:sz w:val="20"/>
        </w:rPr>
        <w:t>such as SSB with or without PBCH</w:t>
      </w:r>
      <w:r>
        <w:rPr>
          <w:rFonts w:hint="eastAsia"/>
          <w:sz w:val="20"/>
        </w:rPr>
        <w:t xml:space="preserve">, </w:t>
      </w:r>
      <w:r>
        <w:rPr>
          <w:sz w:val="20"/>
        </w:rPr>
        <w:t xml:space="preserve">may be employed for different purposes. </w:t>
      </w:r>
    </w:p>
    <w:p w14:paraId="319C2461" w14:textId="77777777" w:rsidR="00C41F5F" w:rsidRDefault="00832B23">
      <w:pPr>
        <w:spacing w:before="120" w:after="120"/>
        <w:ind w:left="1080"/>
        <w:rPr>
          <w:sz w:val="20"/>
        </w:rPr>
      </w:pPr>
      <w:r>
        <w:rPr>
          <w:sz w:val="20"/>
        </w:rPr>
        <w:t>To streamline configuration and enhance flexibility, the concept of "SSB grouping"</w:t>
      </w:r>
      <w:r>
        <w:rPr>
          <w:sz w:val="20"/>
        </w:rPr>
        <w:t xml:space="preserve"> or "SSB clustering" can be introduced, enabling a unified transmission mechanism across multiple SSBs within the same group. This </w:t>
      </w:r>
      <w:r>
        <w:rPr>
          <w:rFonts w:hint="eastAsia"/>
          <w:sz w:val="20"/>
        </w:rPr>
        <w:t xml:space="preserve">may </w:t>
      </w:r>
      <w:r>
        <w:rPr>
          <w:sz w:val="20"/>
        </w:rPr>
        <w:t xml:space="preserve">include: </w:t>
      </w:r>
    </w:p>
    <w:p w14:paraId="4E2C6C36" w14:textId="77777777" w:rsidR="00C41F5F" w:rsidRDefault="00832B23">
      <w:pPr>
        <w:pStyle w:val="af9"/>
        <w:numPr>
          <w:ilvl w:val="0"/>
          <w:numId w:val="27"/>
        </w:numPr>
        <w:adjustRightInd w:val="0"/>
        <w:snapToGrid w:val="0"/>
        <w:spacing w:before="120" w:after="120" w:line="240" w:lineRule="auto"/>
        <w:ind w:left="1440"/>
        <w:contextualSpacing w:val="0"/>
        <w:rPr>
          <w:sz w:val="20"/>
          <w:szCs w:val="20"/>
        </w:rPr>
      </w:pPr>
      <w:r>
        <w:rPr>
          <w:rFonts w:hint="eastAsia"/>
          <w:sz w:val="20"/>
          <w:szCs w:val="20"/>
        </w:rPr>
        <w:t xml:space="preserve">Definition of SSB group-specific bandwidth and SSB parts multiplexing modes; </w:t>
      </w:r>
    </w:p>
    <w:p w14:paraId="19403EB1" w14:textId="77777777" w:rsidR="00C41F5F" w:rsidRDefault="00832B23">
      <w:pPr>
        <w:pStyle w:val="af9"/>
        <w:numPr>
          <w:ilvl w:val="0"/>
          <w:numId w:val="27"/>
        </w:numPr>
        <w:adjustRightInd w:val="0"/>
        <w:snapToGrid w:val="0"/>
        <w:spacing w:before="120" w:after="120" w:line="240" w:lineRule="auto"/>
        <w:ind w:left="1440"/>
        <w:contextualSpacing w:val="0"/>
        <w:rPr>
          <w:sz w:val="20"/>
          <w:szCs w:val="20"/>
        </w:rPr>
      </w:pPr>
      <w:r>
        <w:rPr>
          <w:rFonts w:hint="eastAsia"/>
          <w:sz w:val="20"/>
          <w:szCs w:val="20"/>
        </w:rPr>
        <w:t>Specification of SSB group-specif</w:t>
      </w:r>
      <w:r>
        <w:rPr>
          <w:rFonts w:hint="eastAsia"/>
          <w:sz w:val="20"/>
          <w:szCs w:val="20"/>
        </w:rPr>
        <w:t xml:space="preserve">ic periodicity (as illustrated in Figure </w:t>
      </w:r>
      <w:r>
        <w:rPr>
          <w:sz w:val="20"/>
          <w:szCs w:val="20"/>
        </w:rPr>
        <w:t>6</w:t>
      </w:r>
      <w:r>
        <w:rPr>
          <w:rFonts w:hint="eastAsia"/>
          <w:sz w:val="20"/>
          <w:szCs w:val="20"/>
        </w:rPr>
        <w:t>-</w:t>
      </w:r>
      <w:r>
        <w:rPr>
          <w:sz w:val="20"/>
          <w:szCs w:val="20"/>
        </w:rPr>
        <w:t>3</w:t>
      </w:r>
      <w:r>
        <w:rPr>
          <w:rFonts w:hint="eastAsia"/>
          <w:sz w:val="20"/>
          <w:szCs w:val="20"/>
        </w:rPr>
        <w:t xml:space="preserve">) and on/off transmission mechanisms for NES; </w:t>
      </w:r>
    </w:p>
    <w:p w14:paraId="50B1D56E" w14:textId="77777777" w:rsidR="00C41F5F" w:rsidRDefault="00832B23">
      <w:pPr>
        <w:pStyle w:val="af9"/>
        <w:numPr>
          <w:ilvl w:val="0"/>
          <w:numId w:val="27"/>
        </w:numPr>
        <w:adjustRightInd w:val="0"/>
        <w:snapToGrid w:val="0"/>
        <w:spacing w:before="120" w:after="120" w:line="240" w:lineRule="auto"/>
        <w:ind w:left="1440"/>
        <w:contextualSpacing w:val="0"/>
        <w:rPr>
          <w:sz w:val="20"/>
          <w:szCs w:val="20"/>
        </w:rPr>
      </w:pPr>
      <w:r>
        <w:rPr>
          <w:rFonts w:hint="eastAsia"/>
          <w:sz w:val="20"/>
          <w:szCs w:val="20"/>
        </w:rPr>
        <w:t>Customization of SSB group-specific structures and contents to support different use cases, such as measurement or cell search.</w:t>
      </w:r>
    </w:p>
    <w:p w14:paraId="5155C197" w14:textId="77777777" w:rsidR="00C41F5F" w:rsidRDefault="00832B23">
      <w:pPr>
        <w:keepNext/>
        <w:spacing w:before="120" w:after="120"/>
        <w:jc w:val="center"/>
        <w:rPr>
          <w:sz w:val="20"/>
        </w:rPr>
      </w:pPr>
      <w:r>
        <w:rPr>
          <w:noProof/>
          <w:sz w:val="20"/>
        </w:rPr>
        <w:drawing>
          <wp:inline distT="0" distB="0" distL="114300" distR="114300" wp14:anchorId="37A4AD17" wp14:editId="43911B9B">
            <wp:extent cx="3263900" cy="921385"/>
            <wp:effectExtent l="0" t="0" r="12700" b="825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4"/>
                    <a:stretch>
                      <a:fillRect/>
                    </a:stretch>
                  </pic:blipFill>
                  <pic:spPr>
                    <a:xfrm>
                      <a:off x="0" y="0"/>
                      <a:ext cx="3263900" cy="921385"/>
                    </a:xfrm>
                    <a:prstGeom prst="rect">
                      <a:avLst/>
                    </a:prstGeom>
                    <a:noFill/>
                    <a:ln>
                      <a:noFill/>
                    </a:ln>
                  </pic:spPr>
                </pic:pic>
              </a:graphicData>
            </a:graphic>
          </wp:inline>
        </w:drawing>
      </w:r>
    </w:p>
    <w:p w14:paraId="61F09585" w14:textId="77777777" w:rsidR="00C41F5F" w:rsidRDefault="00832B23">
      <w:pPr>
        <w:pStyle w:val="a4"/>
        <w:spacing w:before="120" w:after="120"/>
        <w:jc w:val="center"/>
        <w:rPr>
          <w:rFonts w:ascii="Times New Roman" w:hAnsi="Times New Roman"/>
        </w:rPr>
      </w:pPr>
      <w:r>
        <w:rPr>
          <w:rFonts w:ascii="Times New Roman" w:hAnsi="Times New Roman"/>
        </w:rPr>
        <w:t>Figure 6-3</w:t>
      </w:r>
      <w:r>
        <w:rPr>
          <w:rFonts w:ascii="Times New Roman" w:eastAsia="宋体" w:hAnsi="Times New Roman"/>
        </w:rPr>
        <w:t xml:space="preserve"> </w:t>
      </w:r>
      <w:r>
        <w:rPr>
          <w:rFonts w:ascii="Times New Roman" w:eastAsia="宋体" w:hAnsi="Times New Roman" w:hint="eastAsia"/>
        </w:rPr>
        <w:t>SSB group specific perio</w:t>
      </w:r>
      <w:r>
        <w:rPr>
          <w:rFonts w:ascii="Times New Roman" w:eastAsia="宋体" w:hAnsi="Times New Roman" w:hint="eastAsia"/>
        </w:rPr>
        <w:t>dicity</w:t>
      </w:r>
    </w:p>
    <w:p w14:paraId="65A4FD16" w14:textId="77777777" w:rsidR="00C41F5F" w:rsidRDefault="00832B23">
      <w:pPr>
        <w:spacing w:before="120" w:after="120"/>
        <w:ind w:left="1080"/>
        <w:rPr>
          <w:sz w:val="20"/>
        </w:rPr>
      </w:pPr>
      <w:r>
        <w:rPr>
          <w:rFonts w:hint="eastAsia"/>
          <w:sz w:val="20"/>
        </w:rPr>
        <w:lastRenderedPageBreak/>
        <w:t xml:space="preserve">In addition, </w:t>
      </w:r>
      <w:r>
        <w:rPr>
          <w:sz w:val="20"/>
        </w:rPr>
        <w:t>SSB group</w:t>
      </w:r>
      <w:r>
        <w:rPr>
          <w:rFonts w:hint="eastAsia"/>
          <w:sz w:val="20"/>
        </w:rPr>
        <w:t>ing</w:t>
      </w:r>
      <w:r>
        <w:rPr>
          <w:sz w:val="20"/>
        </w:rPr>
        <w:t xml:space="preserve"> can also facilitate SSB repetition </w:t>
      </w:r>
      <w:r>
        <w:rPr>
          <w:rFonts w:hint="eastAsia"/>
          <w:sz w:val="20"/>
        </w:rPr>
        <w:t xml:space="preserve">or </w:t>
      </w:r>
      <w:r>
        <w:rPr>
          <w:sz w:val="20"/>
        </w:rPr>
        <w:t>efficient resource mapping across multiple SSBs to improve performance. Furthermore, group-level RO association based on SSB groups can be considered, allowing PRACH transmission contro</w:t>
      </w:r>
      <w:r>
        <w:rPr>
          <w:sz w:val="20"/>
        </w:rPr>
        <w:t>l at the group level and thereby simplifying PRACH adaptation procedures.</w:t>
      </w:r>
    </w:p>
    <w:p w14:paraId="058E12CE" w14:textId="77777777" w:rsidR="00C41F5F" w:rsidRDefault="00832B23">
      <w:pPr>
        <w:pStyle w:val="af9"/>
        <w:numPr>
          <w:ilvl w:val="1"/>
          <w:numId w:val="26"/>
        </w:numPr>
        <w:adjustRightInd w:val="0"/>
        <w:snapToGrid w:val="0"/>
        <w:spacing w:before="120" w:after="120" w:line="240" w:lineRule="auto"/>
        <w:ind w:left="1080"/>
        <w:contextualSpacing w:val="0"/>
        <w:rPr>
          <w:sz w:val="20"/>
          <w:szCs w:val="20"/>
        </w:rPr>
      </w:pPr>
      <w:r>
        <w:rPr>
          <w:sz w:val="20"/>
          <w:szCs w:val="20"/>
        </w:rPr>
        <w:t>AI-based SSB beam prediction</w:t>
      </w:r>
    </w:p>
    <w:p w14:paraId="36742C33" w14:textId="77777777" w:rsidR="00C41F5F" w:rsidRDefault="00832B23">
      <w:pPr>
        <w:spacing w:before="120" w:after="120"/>
        <w:ind w:left="1080"/>
        <w:rPr>
          <w:sz w:val="20"/>
        </w:rPr>
      </w:pPr>
      <w:r>
        <w:rPr>
          <w:sz w:val="20"/>
        </w:rPr>
        <w:t xml:space="preserve">In 5G-A, AI-based beam prediction is introduced for RRC-CONNECTED state UE. In 6G, the AI-based SSB beam prediction can also be extended to the RRC-IDLE </w:t>
      </w:r>
      <w:r>
        <w:rPr>
          <w:sz w:val="20"/>
        </w:rPr>
        <w:t>state to reduce the power consumption for both UE and base station. For example, base station may have 64 SSBs (i.e., Set A) with different beams, while only 32 (i.e., Set B) SSBs are transmitted to the UE. Based on the 32 SSBs, the AI model at the UE side</w:t>
      </w:r>
      <w:r>
        <w:rPr>
          <w:sz w:val="20"/>
        </w:rPr>
        <w:t xml:space="preserve"> can predict the best beam among the 64 SSBs for RACH.</w:t>
      </w:r>
    </w:p>
    <w:p w14:paraId="21D05F52" w14:textId="77777777" w:rsidR="00C41F5F" w:rsidRDefault="00832B23">
      <w:pPr>
        <w:snapToGrid w:val="0"/>
        <w:spacing w:before="120" w:after="120"/>
        <w:textAlignment w:val="center"/>
        <w:rPr>
          <w:i/>
          <w:sz w:val="20"/>
          <w:szCs w:val="18"/>
        </w:rPr>
      </w:pPr>
      <w:r>
        <w:rPr>
          <w:b/>
          <w:i/>
          <w:sz w:val="20"/>
        </w:rPr>
        <w:t>Proposal</w:t>
      </w:r>
      <w:r>
        <w:rPr>
          <w:rFonts w:hint="eastAsia"/>
          <w:b/>
          <w:bCs/>
          <w:i/>
          <w:sz w:val="20"/>
        </w:rPr>
        <w:t xml:space="preserve"> </w:t>
      </w:r>
      <w:r>
        <w:rPr>
          <w:b/>
          <w:i/>
          <w:sz w:val="20"/>
        </w:rPr>
        <w:t>6</w:t>
      </w:r>
      <w:r>
        <w:rPr>
          <w:rFonts w:hint="eastAsia"/>
          <w:b/>
          <w:bCs/>
          <w:i/>
          <w:sz w:val="20"/>
        </w:rPr>
        <w:t>-</w:t>
      </w:r>
      <w:r>
        <w:rPr>
          <w:b/>
          <w:bCs/>
          <w:i/>
          <w:sz w:val="20"/>
        </w:rPr>
        <w:t>1</w:t>
      </w:r>
      <w:r>
        <w:rPr>
          <w:rFonts w:hint="eastAsia"/>
          <w:b/>
          <w:bCs/>
          <w:i/>
          <w:sz w:val="20"/>
        </w:rPr>
        <w:t>:</w:t>
      </w:r>
      <w:r>
        <w:rPr>
          <w:b/>
          <w:i/>
          <w:sz w:val="20"/>
        </w:rPr>
        <w:t xml:space="preserve"> </w:t>
      </w:r>
      <w:r>
        <w:rPr>
          <w:bCs/>
          <w:i/>
          <w:sz w:val="20"/>
        </w:rPr>
        <w:t xml:space="preserve">For the </w:t>
      </w:r>
      <w:r>
        <w:rPr>
          <w:bCs/>
          <w:i/>
          <w:sz w:val="20"/>
          <w:szCs w:val="18"/>
        </w:rPr>
        <w:t>s</w:t>
      </w:r>
      <w:r>
        <w:rPr>
          <w:rFonts w:hint="eastAsia"/>
          <w:bCs/>
          <w:i/>
          <w:sz w:val="20"/>
          <w:szCs w:val="18"/>
        </w:rPr>
        <w:t xml:space="preserve">ync signal </w:t>
      </w:r>
      <w:r>
        <w:rPr>
          <w:bCs/>
          <w:i/>
          <w:sz w:val="20"/>
          <w:szCs w:val="18"/>
        </w:rPr>
        <w:t xml:space="preserve">design, </w:t>
      </w:r>
      <w:r>
        <w:rPr>
          <w:rFonts w:hint="eastAsia"/>
          <w:i/>
          <w:sz w:val="20"/>
          <w:szCs w:val="18"/>
        </w:rPr>
        <w:t xml:space="preserve">the </w:t>
      </w:r>
      <w:r>
        <w:rPr>
          <w:i/>
          <w:sz w:val="20"/>
          <w:szCs w:val="18"/>
        </w:rPr>
        <w:t>following aspects are recommended for study.</w:t>
      </w:r>
    </w:p>
    <w:p w14:paraId="51E58882" w14:textId="77777777" w:rsidR="00C41F5F" w:rsidRDefault="00832B23">
      <w:pPr>
        <w:numPr>
          <w:ilvl w:val="0"/>
          <w:numId w:val="20"/>
        </w:numPr>
        <w:adjustRightInd w:val="0"/>
        <w:snapToGrid w:val="0"/>
        <w:spacing w:before="120" w:after="120" w:line="240" w:lineRule="auto"/>
        <w:ind w:left="420"/>
        <w:rPr>
          <w:i/>
          <w:sz w:val="20"/>
        </w:rPr>
      </w:pPr>
      <w:r>
        <w:rPr>
          <w:i/>
          <w:sz w:val="20"/>
        </w:rPr>
        <w:t>Only one sync-signal with single structure</w:t>
      </w:r>
    </w:p>
    <w:p w14:paraId="6DB2B426"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Larger SSB periodicity, e.g., 160 ms</w:t>
      </w:r>
      <w:r>
        <w:rPr>
          <w:i/>
          <w:sz w:val="20"/>
        </w:rPr>
        <w:t xml:space="preserve"> </w:t>
      </w:r>
      <w:r>
        <w:rPr>
          <w:rFonts w:hint="eastAsia"/>
          <w:i/>
          <w:sz w:val="20"/>
        </w:rPr>
        <w:t xml:space="preserve">with intra-period combination </w:t>
      </w:r>
      <w:r>
        <w:rPr>
          <w:rFonts w:hint="eastAsia"/>
          <w:i/>
          <w:sz w:val="20"/>
        </w:rPr>
        <w:t>or</w:t>
      </w:r>
      <w:r>
        <w:rPr>
          <w:i/>
          <w:sz w:val="20"/>
        </w:rPr>
        <w:t>, SSB muting pattern</w:t>
      </w:r>
      <w:r>
        <w:rPr>
          <w:rFonts w:hint="eastAsia"/>
          <w:i/>
          <w:sz w:val="20"/>
        </w:rPr>
        <w:t>.</w:t>
      </w:r>
    </w:p>
    <w:p w14:paraId="7BB5F63C" w14:textId="3698F335" w:rsidR="00C41F5F" w:rsidRDefault="00832B23">
      <w:pPr>
        <w:numPr>
          <w:ilvl w:val="0"/>
          <w:numId w:val="20"/>
        </w:numPr>
        <w:adjustRightInd w:val="0"/>
        <w:snapToGrid w:val="0"/>
        <w:spacing w:before="120" w:after="120" w:line="240" w:lineRule="auto"/>
        <w:ind w:left="420"/>
        <w:rPr>
          <w:i/>
          <w:sz w:val="20"/>
        </w:rPr>
      </w:pPr>
      <w:r>
        <w:rPr>
          <w:rFonts w:hint="eastAsia"/>
          <w:i/>
          <w:sz w:val="20"/>
        </w:rPr>
        <w:t xml:space="preserve">Extending the </w:t>
      </w:r>
      <w:r>
        <w:rPr>
          <w:rFonts w:hint="eastAsia"/>
          <w:i/>
          <w:sz w:val="20"/>
        </w:rPr>
        <w:t>capacit</w:t>
      </w:r>
      <w:r>
        <w:rPr>
          <w:i/>
          <w:sz w:val="20"/>
        </w:rPr>
        <w:t xml:space="preserve">y </w:t>
      </w:r>
      <w:r>
        <w:rPr>
          <w:i/>
          <w:sz w:val="20"/>
        </w:rPr>
        <w:t>with more candidate SSBs in one period</w:t>
      </w:r>
      <w:r>
        <w:rPr>
          <w:rFonts w:hint="eastAsia"/>
          <w:i/>
          <w:sz w:val="20"/>
        </w:rPr>
        <w:t>.</w:t>
      </w:r>
    </w:p>
    <w:p w14:paraId="0EB45350"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SSB structure</w:t>
      </w:r>
      <w:r>
        <w:rPr>
          <w:i/>
          <w:sz w:val="20"/>
        </w:rPr>
        <w:t xml:space="preserve"> with minimum bandwidth @5MHz with 15kHz SCS</w:t>
      </w:r>
      <w:r>
        <w:rPr>
          <w:rFonts w:hint="eastAsia"/>
          <w:i/>
          <w:sz w:val="20"/>
        </w:rPr>
        <w:t>.</w:t>
      </w:r>
    </w:p>
    <w:p w14:paraId="36ECCCC0"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Sparser sync raster</w:t>
      </w:r>
      <w:r>
        <w:rPr>
          <w:i/>
          <w:sz w:val="20"/>
        </w:rPr>
        <w:t>.</w:t>
      </w:r>
    </w:p>
    <w:p w14:paraId="3577AD6E"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SSB grouping/clustering.</w:t>
      </w:r>
    </w:p>
    <w:p w14:paraId="4B4519F8"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A</w:t>
      </w:r>
      <w:r>
        <w:rPr>
          <w:i/>
          <w:sz w:val="20"/>
        </w:rPr>
        <w:t>I-based SSB beam prediction</w:t>
      </w:r>
    </w:p>
    <w:p w14:paraId="35022419" w14:textId="77777777" w:rsidR="00C41F5F" w:rsidRDefault="00832B23">
      <w:pPr>
        <w:pStyle w:val="3"/>
        <w:numPr>
          <w:ilvl w:val="2"/>
          <w:numId w:val="1"/>
        </w:numPr>
        <w:spacing w:beforeLines="0" w:afterLines="0" w:line="260" w:lineRule="auto"/>
        <w:rPr>
          <w:b/>
          <w:bCs/>
          <w:sz w:val="20"/>
        </w:rPr>
      </w:pPr>
      <w:r>
        <w:rPr>
          <w:rFonts w:hint="eastAsia"/>
          <w:b/>
          <w:bCs/>
          <w:sz w:val="20"/>
        </w:rPr>
        <w:t xml:space="preserve">Other </w:t>
      </w:r>
      <w:r>
        <w:rPr>
          <w:b/>
          <w:bCs/>
          <w:sz w:val="20"/>
        </w:rPr>
        <w:t>common channel</w:t>
      </w:r>
    </w:p>
    <w:p w14:paraId="2E2FA73A" w14:textId="77777777" w:rsidR="00C41F5F" w:rsidRDefault="00832B23">
      <w:pPr>
        <w:spacing w:before="120" w:after="120"/>
        <w:rPr>
          <w:sz w:val="20"/>
          <w:szCs w:val="18"/>
        </w:rPr>
      </w:pPr>
      <w:r>
        <w:rPr>
          <w:sz w:val="20"/>
          <w:szCs w:val="18"/>
        </w:rPr>
        <w:t xml:space="preserve">For </w:t>
      </w:r>
      <w:r>
        <w:rPr>
          <w:rFonts w:hint="eastAsia"/>
          <w:sz w:val="20"/>
          <w:szCs w:val="18"/>
        </w:rPr>
        <w:t>other common channel during initial access procedure,</w:t>
      </w:r>
      <w:r>
        <w:rPr>
          <w:sz w:val="20"/>
          <w:szCs w:val="18"/>
        </w:rPr>
        <w:t xml:space="preserve"> the following aspects can be considered:</w:t>
      </w:r>
    </w:p>
    <w:p w14:paraId="752F353B" w14:textId="77777777" w:rsidR="00C41F5F" w:rsidRDefault="00832B23">
      <w:pPr>
        <w:pStyle w:val="af9"/>
        <w:numPr>
          <w:ilvl w:val="0"/>
          <w:numId w:val="26"/>
        </w:numPr>
        <w:adjustRightInd w:val="0"/>
        <w:snapToGrid w:val="0"/>
        <w:spacing w:before="120" w:after="120" w:line="240" w:lineRule="auto"/>
        <w:ind w:left="726" w:hanging="363"/>
        <w:contextualSpacing w:val="0"/>
        <w:rPr>
          <w:rFonts w:eastAsia="宋体"/>
          <w:iCs/>
          <w:sz w:val="20"/>
          <w:szCs w:val="18"/>
        </w:rPr>
      </w:pPr>
      <w:r>
        <w:rPr>
          <w:rFonts w:eastAsia="宋体" w:hint="eastAsia"/>
          <w:iCs/>
          <w:sz w:val="20"/>
        </w:rPr>
        <w:t>D</w:t>
      </w:r>
      <w:r>
        <w:rPr>
          <w:rFonts w:hint="eastAsia"/>
          <w:iCs/>
          <w:sz w:val="20"/>
        </w:rPr>
        <w:t>ownlink common signals/channels transmission efficiency improvement</w:t>
      </w:r>
    </w:p>
    <w:p w14:paraId="2F1A1E7B" w14:textId="77777777" w:rsidR="00C41F5F" w:rsidRDefault="00832B23">
      <w:pPr>
        <w:pStyle w:val="af9"/>
        <w:adjustRightInd w:val="0"/>
        <w:snapToGrid w:val="0"/>
        <w:spacing w:before="120" w:after="120" w:line="240" w:lineRule="auto"/>
        <w:contextualSpacing w:val="0"/>
        <w:rPr>
          <w:rFonts w:eastAsia="宋体"/>
          <w:sz w:val="20"/>
          <w:szCs w:val="20"/>
        </w:rPr>
      </w:pPr>
      <w:r>
        <w:rPr>
          <w:rFonts w:eastAsia="宋体" w:hint="eastAsia"/>
          <w:sz w:val="20"/>
          <w:szCs w:val="20"/>
        </w:rPr>
        <w:t>In 5G NR, time-domain sweeping patterns are defined for different DL common signals/channels separately for providing better flexibility. However, it restricts the transmission of UE specific information and is also not conducive to network energy efficien</w:t>
      </w:r>
      <w:r>
        <w:rPr>
          <w:rFonts w:eastAsia="宋体" w:hint="eastAsia"/>
          <w:sz w:val="20"/>
          <w:szCs w:val="20"/>
        </w:rPr>
        <w:t xml:space="preserve">cy. In 6GR, a common block can be defined to accommodate different DL common signals/channels for sharing a single sweeping pattern, which is also beneficial to beam hopping operation under NTN. </w:t>
      </w:r>
    </w:p>
    <w:p w14:paraId="18102CE1" w14:textId="77777777" w:rsidR="00C41F5F" w:rsidRDefault="00832B23">
      <w:pPr>
        <w:pStyle w:val="af9"/>
        <w:numPr>
          <w:ilvl w:val="0"/>
          <w:numId w:val="26"/>
        </w:numPr>
        <w:adjustRightInd w:val="0"/>
        <w:snapToGrid w:val="0"/>
        <w:spacing w:before="120" w:after="120" w:line="240" w:lineRule="auto"/>
        <w:ind w:left="726" w:hanging="363"/>
        <w:contextualSpacing w:val="0"/>
        <w:rPr>
          <w:rFonts w:eastAsia="宋体"/>
          <w:sz w:val="20"/>
          <w:szCs w:val="18"/>
        </w:rPr>
      </w:pPr>
      <w:r>
        <w:rPr>
          <w:rFonts w:eastAsia="宋体" w:hint="eastAsia"/>
          <w:sz w:val="20"/>
          <w:szCs w:val="18"/>
        </w:rPr>
        <w:t>Paging/RACH capacity enhancement</w:t>
      </w:r>
    </w:p>
    <w:p w14:paraId="3F965F32" w14:textId="77777777" w:rsidR="00C41F5F" w:rsidRDefault="00832B23">
      <w:pPr>
        <w:pStyle w:val="af9"/>
        <w:adjustRightInd w:val="0"/>
        <w:snapToGrid w:val="0"/>
        <w:spacing w:before="120" w:after="120" w:line="240" w:lineRule="auto"/>
        <w:contextualSpacing w:val="0"/>
        <w:rPr>
          <w:rFonts w:eastAsia="宋体"/>
          <w:sz w:val="20"/>
          <w:szCs w:val="20"/>
        </w:rPr>
      </w:pPr>
      <w:r>
        <w:rPr>
          <w:rFonts w:eastAsia="宋体" w:hint="eastAsia"/>
          <w:sz w:val="20"/>
          <w:szCs w:val="20"/>
        </w:rPr>
        <w:t>To avoid market fragmentati</w:t>
      </w:r>
      <w:r>
        <w:rPr>
          <w:rFonts w:eastAsia="宋体" w:hint="eastAsia"/>
          <w:sz w:val="20"/>
          <w:szCs w:val="20"/>
        </w:rPr>
        <w:t>on and ensure native support for diverse device types in 6GR, initial access design should be compatible to all devices. If paging, RACH and SSB are all confined in the same band with a 5MHz channel bandwidth, the time-domain occupation will increase to ma</w:t>
      </w:r>
      <w:r>
        <w:rPr>
          <w:rFonts w:eastAsia="宋体" w:hint="eastAsia"/>
          <w:sz w:val="20"/>
          <w:szCs w:val="20"/>
        </w:rPr>
        <w:t>intain similar coverage as NR. In this case, the blocking probability would be increased significantly. To address this, similar to RedCap in Rel-17, a fully separate RACH or paging can be considered for offloading. Hence, paging can be monitored within 5M</w:t>
      </w:r>
      <w:r>
        <w:rPr>
          <w:rFonts w:eastAsia="宋体" w:hint="eastAsia"/>
          <w:sz w:val="20"/>
          <w:szCs w:val="20"/>
        </w:rPr>
        <w:t>Hz in one BWP/band for scalable UEs, while for normal or advanced UEs, paging can be offloaded in another BWP/band.</w:t>
      </w:r>
    </w:p>
    <w:p w14:paraId="06CEE87E" w14:textId="77777777" w:rsidR="00C41F5F" w:rsidRDefault="00832B23">
      <w:pPr>
        <w:numPr>
          <w:ilvl w:val="255"/>
          <w:numId w:val="0"/>
        </w:numPr>
        <w:adjustRightInd w:val="0"/>
        <w:snapToGrid w:val="0"/>
        <w:spacing w:before="120" w:after="120" w:line="240" w:lineRule="auto"/>
        <w:rPr>
          <w:i/>
          <w:sz w:val="20"/>
          <w:szCs w:val="18"/>
        </w:rPr>
      </w:pPr>
      <w:r>
        <w:rPr>
          <w:b/>
          <w:bCs/>
          <w:i/>
          <w:sz w:val="20"/>
        </w:rPr>
        <w:t xml:space="preserve">Proposal 6-2: </w:t>
      </w:r>
      <w:r>
        <w:rPr>
          <w:rFonts w:hint="eastAsia"/>
          <w:bCs/>
          <w:i/>
          <w:sz w:val="20"/>
        </w:rPr>
        <w:t xml:space="preserve">Regarding </w:t>
      </w:r>
      <w:r>
        <w:rPr>
          <w:rFonts w:hint="eastAsia"/>
          <w:bCs/>
          <w:i/>
          <w:sz w:val="20"/>
          <w:szCs w:val="18"/>
        </w:rPr>
        <w:t>common channel</w:t>
      </w:r>
      <w:r>
        <w:rPr>
          <w:rFonts w:hint="eastAsia"/>
          <w:i/>
          <w:sz w:val="20"/>
          <w:szCs w:val="18"/>
        </w:rPr>
        <w:t xml:space="preserve"> in 6GR, the </w:t>
      </w:r>
      <w:r>
        <w:rPr>
          <w:i/>
          <w:sz w:val="20"/>
          <w:szCs w:val="18"/>
        </w:rPr>
        <w:t>following aspects are recommended for study.</w:t>
      </w:r>
    </w:p>
    <w:p w14:paraId="4AB9EFC2"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Transmission efficiency improvement of downl</w:t>
      </w:r>
      <w:r>
        <w:rPr>
          <w:rFonts w:hint="eastAsia"/>
          <w:i/>
          <w:sz w:val="20"/>
        </w:rPr>
        <w:t>ink common signals/channels transmission</w:t>
      </w:r>
      <w:r>
        <w:rPr>
          <w:i/>
          <w:sz w:val="20"/>
        </w:rPr>
        <w:t xml:space="preserve">, </w:t>
      </w:r>
      <w:r>
        <w:rPr>
          <w:rFonts w:hint="eastAsia"/>
          <w:i/>
          <w:sz w:val="20"/>
        </w:rPr>
        <w:t>e.g., defining a common block to accommodate different DL common signals/channels</w:t>
      </w:r>
      <w:r>
        <w:rPr>
          <w:i/>
          <w:sz w:val="20"/>
        </w:rPr>
        <w:t>.</w:t>
      </w:r>
    </w:p>
    <w:p w14:paraId="5A2FB1FA" w14:textId="77777777" w:rsidR="00C41F5F" w:rsidRDefault="00832B23">
      <w:pPr>
        <w:numPr>
          <w:ilvl w:val="0"/>
          <w:numId w:val="20"/>
        </w:numPr>
        <w:adjustRightInd w:val="0"/>
        <w:snapToGrid w:val="0"/>
        <w:spacing w:before="120" w:after="120" w:line="240" w:lineRule="auto"/>
        <w:ind w:left="420"/>
        <w:rPr>
          <w:sz w:val="20"/>
        </w:rPr>
      </w:pPr>
      <w:r>
        <w:rPr>
          <w:rFonts w:hint="eastAsia"/>
          <w:i/>
          <w:sz w:val="20"/>
        </w:rPr>
        <w:t>P</w:t>
      </w:r>
      <w:r>
        <w:rPr>
          <w:i/>
          <w:sz w:val="20"/>
        </w:rPr>
        <w:t>aging/RACH capacity enhancement, including RACH or paging offloading in separate frequency location.</w:t>
      </w:r>
    </w:p>
    <w:p w14:paraId="72CBAF1D" w14:textId="77777777" w:rsidR="00C41F5F" w:rsidRDefault="00832B23">
      <w:pPr>
        <w:adjustRightInd w:val="0"/>
        <w:snapToGrid w:val="0"/>
        <w:spacing w:before="120" w:after="120" w:line="240" w:lineRule="auto"/>
        <w:rPr>
          <w:sz w:val="20"/>
        </w:rPr>
      </w:pPr>
      <w:r>
        <w:rPr>
          <w:sz w:val="20"/>
        </w:rPr>
        <w:t>A</w:t>
      </w:r>
      <w:r>
        <w:rPr>
          <w:rFonts w:hint="eastAsia"/>
          <w:sz w:val="20"/>
        </w:rPr>
        <w:t>dd</w:t>
      </w:r>
      <w:r>
        <w:rPr>
          <w:sz w:val="20"/>
        </w:rPr>
        <w:t>itionally, for 6GR, enhanc</w:t>
      </w:r>
      <w:r>
        <w:rPr>
          <w:sz w:val="20"/>
        </w:rPr>
        <w:t xml:space="preserve">ed common signal transmission mechanisms for NES purpose can be found in </w:t>
      </w:r>
      <w:r>
        <w:rPr>
          <w:sz w:val="20"/>
        </w:rPr>
        <w:fldChar w:fldCharType="begin"/>
      </w:r>
      <w:r>
        <w:rPr>
          <w:sz w:val="20"/>
        </w:rPr>
        <w:instrText xml:space="preserve"> REF _Ref205908397 \r \h </w:instrText>
      </w:r>
      <w:r>
        <w:rPr>
          <w:sz w:val="20"/>
        </w:rPr>
      </w:r>
      <w:r>
        <w:rPr>
          <w:sz w:val="20"/>
        </w:rPr>
        <w:fldChar w:fldCharType="separate"/>
      </w:r>
      <w:r>
        <w:rPr>
          <w:sz w:val="20"/>
        </w:rPr>
        <w:t>[11]</w:t>
      </w:r>
      <w:r>
        <w:rPr>
          <w:sz w:val="20"/>
        </w:rPr>
        <w:fldChar w:fldCharType="end"/>
      </w:r>
      <w:r>
        <w:rPr>
          <w:sz w:val="20"/>
        </w:rPr>
        <w:t>.</w:t>
      </w:r>
    </w:p>
    <w:p w14:paraId="0B09EFF0"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Operation of bandwidth/band adaptation</w:t>
      </w:r>
    </w:p>
    <w:p w14:paraId="17467C2B" w14:textId="77777777" w:rsidR="00C41F5F" w:rsidRDefault="00832B23">
      <w:pPr>
        <w:snapToGrid w:val="0"/>
        <w:spacing w:before="120" w:after="120" w:line="240" w:lineRule="auto"/>
        <w:rPr>
          <w:sz w:val="20"/>
        </w:rPr>
      </w:pPr>
      <w:r>
        <w:rPr>
          <w:rFonts w:hint="eastAsia"/>
          <w:sz w:val="20"/>
        </w:rPr>
        <w:t xml:space="preserve">To accommodate variable bandwidth and power </w:t>
      </w:r>
      <w:r>
        <w:rPr>
          <w:rFonts w:hint="eastAsia"/>
          <w:sz w:val="20"/>
        </w:rPr>
        <w:t>efficiency requirements in NR, bandwidth part, i.e., BWP, is introduced, but NR BWP framework is evolved to be overly complex and at least the following pain points are observed:</w:t>
      </w:r>
    </w:p>
    <w:p w14:paraId="06163705"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lastRenderedPageBreak/>
        <w:t xml:space="preserve">Too many RRC parameters are configured in a BWP-specific manner, which makes </w:t>
      </w:r>
      <w:r>
        <w:rPr>
          <w:rFonts w:eastAsia="宋体" w:hint="eastAsia"/>
          <w:sz w:val="20"/>
        </w:rPr>
        <w:t>BWP switching extremely difficult to implement in practical deployments.</w:t>
      </w:r>
    </w:p>
    <w:p w14:paraId="1D49738A"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t>Since BWP switching would change a large part of RRC configuration, it leads to larger switching delay and results in more serious ambiguity issues during the switching process.</w:t>
      </w:r>
    </w:p>
    <w:p w14:paraId="25E23BDE"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t>For N</w:t>
      </w:r>
      <w:r>
        <w:rPr>
          <w:rFonts w:eastAsia="宋体" w:hint="eastAsia"/>
          <w:sz w:val="20"/>
        </w:rPr>
        <w:t>R BWP switching operation, particularly when switching from a smaller BWP to a larger one, the insufficient FDRA bits may lead to inefficient bandwidth utilization and poor bandwidth adaptability.</w:t>
      </w:r>
    </w:p>
    <w:p w14:paraId="731F791B"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t>NR BWP framework also supports complex SCS-switching in a p</w:t>
      </w:r>
      <w:r>
        <w:rPr>
          <w:rFonts w:eastAsia="宋体" w:hint="eastAsia"/>
          <w:sz w:val="20"/>
        </w:rPr>
        <w:t>hysical carrier/band, however this feature was ultimately not in strong market demand and therefore has not been widely used.</w:t>
      </w:r>
    </w:p>
    <w:p w14:paraId="1975E943" w14:textId="1F632734" w:rsidR="00C41F5F" w:rsidRDefault="00832B23">
      <w:pPr>
        <w:pStyle w:val="af9"/>
        <w:snapToGrid w:val="0"/>
        <w:spacing w:beforeLines="50" w:before="120" w:after="120" w:line="240" w:lineRule="auto"/>
        <w:ind w:left="0"/>
        <w:rPr>
          <w:rFonts w:eastAsia="宋体"/>
          <w:sz w:val="20"/>
        </w:rPr>
      </w:pPr>
      <w:r>
        <w:rPr>
          <w:rFonts w:eastAsia="宋体" w:hint="eastAsia"/>
          <w:sz w:val="20"/>
        </w:rPr>
        <w:t xml:space="preserve">On the other hand, for bandwidth/band adaptation framework in 6G, it may be </w:t>
      </w:r>
      <w:r>
        <w:rPr>
          <w:rFonts w:eastAsia="宋体" w:hint="eastAsia"/>
          <w:sz w:val="20"/>
        </w:rPr>
        <w:t xml:space="preserve">related with other 6GR </w:t>
      </w:r>
      <w:r>
        <w:rPr>
          <w:rFonts w:eastAsia="宋体"/>
          <w:sz w:val="20"/>
        </w:rPr>
        <w:t>aspects</w:t>
      </w:r>
      <w:r>
        <w:rPr>
          <w:rFonts w:eastAsia="宋体" w:hint="eastAsia"/>
          <w:sz w:val="20"/>
        </w:rPr>
        <w:t>, e.g., mult</w:t>
      </w:r>
      <w:r>
        <w:rPr>
          <w:rFonts w:eastAsia="宋体" w:hint="eastAsia"/>
          <w:sz w:val="20"/>
        </w:rPr>
        <w:t>i-carrier operation</w:t>
      </w:r>
      <w:r>
        <w:rPr>
          <w:rFonts w:eastAsia="宋体"/>
          <w:sz w:val="20"/>
        </w:rPr>
        <w:t xml:space="preserve"> </w:t>
      </w:r>
      <w:r>
        <w:rPr>
          <w:rFonts w:eastAsia="宋体" w:hint="eastAsia"/>
          <w:sz w:val="20"/>
        </w:rPr>
        <w:t>(spectrum utilization and operation), advance</w:t>
      </w:r>
      <w:r>
        <w:rPr>
          <w:rFonts w:eastAsia="宋体"/>
          <w:sz w:val="20"/>
        </w:rPr>
        <w:t>d</w:t>
      </w:r>
      <w:r>
        <w:rPr>
          <w:rFonts w:eastAsia="宋体" w:hint="eastAsia"/>
          <w:sz w:val="20"/>
        </w:rPr>
        <w:t>-duplex operation, but the BWP framework of NR does not adequately support the requirements of these 6G day1 functionalities.</w:t>
      </w:r>
    </w:p>
    <w:p w14:paraId="5B826AE8"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t>6GR is expected to support the aggregation of non-contiguous fra</w:t>
      </w:r>
      <w:r>
        <w:rPr>
          <w:rFonts w:eastAsia="宋体" w:hint="eastAsia"/>
          <w:sz w:val="20"/>
        </w:rPr>
        <w:t>gmented spectrum with shared baseband and RF capabilities, while NR BWP only supports being configured on a contiguous spectrum.</w:t>
      </w:r>
    </w:p>
    <w:p w14:paraId="354C2FA2"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t>6GR may support SBFD operation as a day1 functionality, but NR BWP framework has some limitations to support SBFD, e.g., initia</w:t>
      </w:r>
      <w:r>
        <w:rPr>
          <w:rFonts w:eastAsia="宋体" w:hint="eastAsia"/>
          <w:sz w:val="20"/>
        </w:rPr>
        <w:t>l UL BWP is restricted on the UL subband to support RACH on non-SBFD and SBFD symbols.</w:t>
      </w:r>
    </w:p>
    <w:p w14:paraId="46CC1C2A" w14:textId="39E3AA91" w:rsidR="00C41F5F" w:rsidRDefault="00832B23">
      <w:pPr>
        <w:snapToGrid w:val="0"/>
        <w:spacing w:before="120" w:after="120"/>
        <w:rPr>
          <w:sz w:val="20"/>
        </w:rPr>
      </w:pPr>
      <w:r>
        <w:rPr>
          <w:sz w:val="20"/>
        </w:rPr>
        <w:t>A</w:t>
      </w:r>
      <w:r>
        <w:rPr>
          <w:rFonts w:hint="eastAsia"/>
          <w:sz w:val="20"/>
        </w:rPr>
        <w:t xml:space="preserve"> lot of effort</w:t>
      </w:r>
      <w:r>
        <w:rPr>
          <w:sz w:val="20"/>
        </w:rPr>
        <w:t xml:space="preserve"> was spent in previous meetings on</w:t>
      </w:r>
      <w:r>
        <w:rPr>
          <w:rFonts w:hint="eastAsia"/>
          <w:sz w:val="20"/>
        </w:rPr>
        <w:t xml:space="preserve"> discussing the lessons learned from the 5G BWP framework, but no consensus was reached. Fr</w:t>
      </w:r>
      <w:r>
        <w:rPr>
          <w:rFonts w:hint="eastAsia"/>
          <w:sz w:val="20"/>
        </w:rPr>
        <w:t>om our perspective, it is more valuable to give some guidance to consider for supporting improved 6GR bandwidth/band adaptation.</w:t>
      </w:r>
      <w:r>
        <w:rPr>
          <w:rFonts w:eastAsia="Times New Roman"/>
          <w:sz w:val="20"/>
        </w:rPr>
        <w:t xml:space="preserve"> </w:t>
      </w:r>
      <w:r>
        <w:rPr>
          <w:rFonts w:eastAsia="Times New Roman"/>
          <w:i/>
          <w:sz w:val="20"/>
        </w:rPr>
        <w:t xml:space="preserve"> </w:t>
      </w:r>
      <w:r>
        <w:rPr>
          <w:rFonts w:hint="eastAsia"/>
          <w:sz w:val="20"/>
        </w:rPr>
        <w:t>.</w:t>
      </w:r>
      <w:r>
        <w:rPr>
          <w:sz w:val="20"/>
        </w:rPr>
        <w:t xml:space="preserve"> </w:t>
      </w:r>
    </w:p>
    <w:p w14:paraId="1F614795" w14:textId="1126BC4B" w:rsidR="00C41F5F" w:rsidRDefault="00832B23">
      <w:pPr>
        <w:snapToGrid w:val="0"/>
        <w:spacing w:before="120" w:after="120"/>
        <w:rPr>
          <w:i/>
          <w:sz w:val="20"/>
        </w:rPr>
      </w:pPr>
      <w:r>
        <w:rPr>
          <w:rFonts w:hint="eastAsia"/>
          <w:b/>
          <w:i/>
          <w:sz w:val="20"/>
        </w:rPr>
        <w:t>P</w:t>
      </w:r>
      <w:r>
        <w:rPr>
          <w:b/>
          <w:i/>
          <w:sz w:val="20"/>
        </w:rPr>
        <w:t>roposal</w:t>
      </w:r>
      <w:r>
        <w:rPr>
          <w:rFonts w:hint="eastAsia"/>
          <w:b/>
          <w:i/>
          <w:sz w:val="20"/>
        </w:rPr>
        <w:t xml:space="preserve"> 7-1</w:t>
      </w:r>
      <w:r>
        <w:rPr>
          <w:i/>
          <w:sz w:val="20"/>
        </w:rPr>
        <w:t>:</w:t>
      </w:r>
      <w:r>
        <w:rPr>
          <w:rFonts w:hint="eastAsia"/>
          <w:i/>
          <w:sz w:val="20"/>
        </w:rPr>
        <w:t xml:space="preserve"> High-level aspects to consider for</w:t>
      </w:r>
      <w:r w:rsidR="005C4F62">
        <w:rPr>
          <w:i/>
          <w:sz w:val="20"/>
        </w:rPr>
        <w:t xml:space="preserve"> </w:t>
      </w:r>
      <w:r>
        <w:rPr>
          <w:i/>
          <w:sz w:val="20"/>
        </w:rPr>
        <w:t>efficient</w:t>
      </w:r>
      <w:r>
        <w:rPr>
          <w:rFonts w:hint="eastAsia"/>
          <w:i/>
          <w:sz w:val="20"/>
        </w:rPr>
        <w:t xml:space="preserve"> </w:t>
      </w:r>
      <w:r>
        <w:rPr>
          <w:rFonts w:hint="eastAsia"/>
          <w:i/>
          <w:sz w:val="20"/>
        </w:rPr>
        <w:t>operation of bandwidth/band adaptation</w:t>
      </w:r>
      <w:r>
        <w:rPr>
          <w:i/>
          <w:sz w:val="20"/>
        </w:rPr>
        <w:t xml:space="preserve"> in 6GR</w:t>
      </w:r>
      <w:r>
        <w:rPr>
          <w:rFonts w:hint="eastAsia"/>
          <w:i/>
          <w:sz w:val="20"/>
        </w:rPr>
        <w:t xml:space="preserve"> include</w:t>
      </w:r>
    </w:p>
    <w:p w14:paraId="7203EE2D" w14:textId="1612414C" w:rsidR="00C41F5F" w:rsidRDefault="00832B23">
      <w:pPr>
        <w:numPr>
          <w:ilvl w:val="0"/>
          <w:numId w:val="20"/>
        </w:numPr>
        <w:snapToGrid w:val="0"/>
        <w:spacing w:before="120" w:after="120" w:line="240" w:lineRule="auto"/>
        <w:rPr>
          <w:i/>
          <w:sz w:val="20"/>
        </w:rPr>
      </w:pPr>
      <w:r>
        <w:rPr>
          <w:rFonts w:hint="eastAsia"/>
          <w:i/>
          <w:sz w:val="20"/>
        </w:rPr>
        <w:t>Lean and reduced BWP-specific configuration</w:t>
      </w:r>
    </w:p>
    <w:p w14:paraId="1BD52664" w14:textId="555FAEFD" w:rsidR="00C41F5F" w:rsidRDefault="00832B23">
      <w:pPr>
        <w:numPr>
          <w:ilvl w:val="0"/>
          <w:numId w:val="20"/>
        </w:numPr>
        <w:snapToGrid w:val="0"/>
        <w:spacing w:before="120" w:after="120" w:line="240" w:lineRule="auto"/>
        <w:rPr>
          <w:i/>
          <w:sz w:val="20"/>
        </w:rPr>
      </w:pPr>
      <w:r>
        <w:rPr>
          <w:rFonts w:hint="eastAsia"/>
          <w:i/>
          <w:sz w:val="20"/>
        </w:rPr>
        <w:t>Fast BWP adaption with low latency</w:t>
      </w:r>
    </w:p>
    <w:p w14:paraId="5B2E8F7C" w14:textId="77777777" w:rsidR="00C41F5F" w:rsidRDefault="00832B23">
      <w:pPr>
        <w:numPr>
          <w:ilvl w:val="0"/>
          <w:numId w:val="20"/>
        </w:numPr>
        <w:snapToGrid w:val="0"/>
        <w:spacing w:before="120" w:after="120" w:line="240" w:lineRule="auto"/>
        <w:rPr>
          <w:i/>
          <w:sz w:val="20"/>
        </w:rPr>
      </w:pPr>
      <w:r>
        <w:rPr>
          <w:rFonts w:hint="eastAsia"/>
          <w:i/>
          <w:sz w:val="20"/>
        </w:rPr>
        <w:t>Robust BWP adaptation without ambiguity issues.</w:t>
      </w:r>
    </w:p>
    <w:p w14:paraId="24437AFD"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Spectrum utilization and operation</w:t>
      </w:r>
    </w:p>
    <w:p w14:paraId="4BD207D0" w14:textId="77777777" w:rsidR="00C41F5F" w:rsidRDefault="00832B23">
      <w:pPr>
        <w:pStyle w:val="2"/>
        <w:keepNext w:val="0"/>
        <w:keepLines w:val="0"/>
        <w:numPr>
          <w:ilvl w:val="1"/>
          <w:numId w:val="1"/>
        </w:numPr>
        <w:spacing w:beforeLines="0" w:afterLines="0" w:line="260" w:lineRule="auto"/>
        <w:ind w:left="576" w:rightChars="0" w:right="0" w:hanging="576"/>
      </w:pPr>
      <w:r>
        <w:rPr>
          <w:rFonts w:ascii="Times New Roman" w:eastAsia="宋体" w:hAnsi="Times New Roman" w:hint="eastAsia"/>
          <w:b/>
          <w:bCs/>
          <w:sz w:val="24"/>
          <w:szCs w:val="24"/>
        </w:rPr>
        <w:t>Design target</w:t>
      </w:r>
    </w:p>
    <w:p w14:paraId="5382907A" w14:textId="52C90A75" w:rsidR="00C41F5F" w:rsidRDefault="00832B23">
      <w:pPr>
        <w:adjustRightInd w:val="0"/>
        <w:snapToGrid w:val="0"/>
        <w:spacing w:before="120" w:after="120" w:line="240" w:lineRule="auto"/>
        <w:rPr>
          <w:sz w:val="20"/>
        </w:rPr>
      </w:pPr>
      <w:r>
        <w:rPr>
          <w:rFonts w:hint="eastAsia"/>
          <w:sz w:val="20"/>
        </w:rPr>
        <w:t xml:space="preserve">In RAN#109 meetings, the following agreement was achieved to provide </w:t>
      </w:r>
      <w:r>
        <w:rPr>
          <w:rFonts w:hint="eastAsia"/>
          <w:sz w:val="20"/>
        </w:rPr>
        <w:t xml:space="preserve">the guidance on </w:t>
      </w:r>
      <w:r>
        <w:rPr>
          <w:rFonts w:hint="eastAsia"/>
          <w:sz w:val="20"/>
        </w:rPr>
        <w:t>spectrum utilization and operation design</w:t>
      </w:r>
      <w:r>
        <w:rPr>
          <w:sz w:val="20"/>
        </w:rPr>
        <w:t xml:space="preserve"> for 6GR</w:t>
      </w:r>
      <w:r>
        <w:rPr>
          <w:rFonts w:hint="eastAsia"/>
          <w:sz w:val="20"/>
        </w:rPr>
        <w:t>.</w:t>
      </w:r>
    </w:p>
    <w:tbl>
      <w:tblPr>
        <w:tblStyle w:val="af3"/>
        <w:tblW w:w="0" w:type="auto"/>
        <w:tblLook w:val="04A0" w:firstRow="1" w:lastRow="0" w:firstColumn="1" w:lastColumn="0" w:noHBand="0" w:noVBand="1"/>
      </w:tblPr>
      <w:tblGrid>
        <w:gridCol w:w="9650"/>
      </w:tblGrid>
      <w:tr w:rsidR="00C41F5F" w14:paraId="45067B3B" w14:textId="77777777">
        <w:tc>
          <w:tcPr>
            <w:tcW w:w="9876" w:type="dxa"/>
          </w:tcPr>
          <w:p w14:paraId="52ED70F6" w14:textId="77777777" w:rsidR="00C41F5F" w:rsidRDefault="00832B23">
            <w:pPr>
              <w:pStyle w:val="af9"/>
              <w:numPr>
                <w:ilvl w:val="255"/>
                <w:numId w:val="0"/>
              </w:numPr>
              <w:snapToGrid w:val="0"/>
              <w:spacing w:afterLines="0" w:after="0" w:line="240" w:lineRule="auto"/>
              <w:rPr>
                <w:rFonts w:eastAsia="宋体"/>
                <w:b/>
                <w:bCs/>
                <w:sz w:val="20"/>
                <w:szCs w:val="20"/>
                <w:u w:val="single"/>
              </w:rPr>
            </w:pPr>
            <w:r>
              <w:rPr>
                <w:rFonts w:eastAsia="宋体"/>
                <w:b/>
                <w:bCs/>
                <w:sz w:val="20"/>
                <w:szCs w:val="20"/>
                <w:u w:val="single"/>
              </w:rPr>
              <w:t>Agreement in RAN#109</w:t>
            </w:r>
          </w:p>
          <w:p w14:paraId="7A1362A2" w14:textId="77777777" w:rsidR="00C41F5F" w:rsidRDefault="00832B23">
            <w:pPr>
              <w:pStyle w:val="af9"/>
              <w:numPr>
                <w:ilvl w:val="0"/>
                <w:numId w:val="21"/>
              </w:numPr>
              <w:snapToGrid w:val="0"/>
              <w:spacing w:afterLines="0" w:after="0" w:line="240" w:lineRule="auto"/>
              <w:jc w:val="left"/>
              <w:rPr>
                <w:sz w:val="20"/>
              </w:rPr>
            </w:pPr>
            <w:r>
              <w:rPr>
                <w:sz w:val="20"/>
                <w:szCs w:val="20"/>
              </w:rPr>
              <w:t>6GR aims to support improved spectrum utilization and operations over one or more carriers/bands, compared to 5G NR.</w:t>
            </w:r>
          </w:p>
          <w:p w14:paraId="54BBD5D0" w14:textId="77777777" w:rsidR="00C41F5F" w:rsidRDefault="00832B23">
            <w:pPr>
              <w:pStyle w:val="af9"/>
              <w:numPr>
                <w:ilvl w:val="0"/>
                <w:numId w:val="21"/>
              </w:numPr>
              <w:snapToGrid w:val="0"/>
              <w:spacing w:afterLines="0" w:after="0" w:line="240" w:lineRule="auto"/>
              <w:jc w:val="left"/>
              <w:rPr>
                <w:rFonts w:eastAsia="宋体"/>
                <w:sz w:val="20"/>
                <w:szCs w:val="20"/>
              </w:rPr>
            </w:pPr>
            <w:r>
              <w:rPr>
                <w:sz w:val="20"/>
                <w:szCs w:val="20"/>
              </w:rPr>
              <w:t xml:space="preserve">6GR aims to support flexible utilization of </w:t>
            </w:r>
            <w:r>
              <w:rPr>
                <w:sz w:val="20"/>
                <w:szCs w:val="20"/>
              </w:rPr>
              <w:t>spectrum resources for DL and UL over different carriers/bands.</w:t>
            </w:r>
          </w:p>
        </w:tc>
      </w:tr>
    </w:tbl>
    <w:p w14:paraId="24B26B24" w14:textId="77777777" w:rsidR="00C41F5F" w:rsidRDefault="00832B23">
      <w:pPr>
        <w:snapToGrid w:val="0"/>
        <w:spacing w:before="120" w:after="120" w:line="240" w:lineRule="auto"/>
        <w:rPr>
          <w:sz w:val="20"/>
        </w:rPr>
      </w:pPr>
      <w:r>
        <w:rPr>
          <w:rFonts w:hint="eastAsia"/>
          <w:sz w:val="20"/>
        </w:rPr>
        <w:t>In NR, different technologies are designed for multi-carrier operation even for the same requirement, and the following pain points are observed in NR:</w:t>
      </w:r>
    </w:p>
    <w:p w14:paraId="6BC4FC59"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hint="eastAsia"/>
          <w:sz w:val="20"/>
        </w:rPr>
        <w:t>Two solutions</w:t>
      </w:r>
      <w:r>
        <w:rPr>
          <w:sz w:val="20"/>
        </w:rPr>
        <w:t xml:space="preserve"> </w:t>
      </w:r>
      <w:r>
        <w:rPr>
          <w:rFonts w:hint="eastAsia"/>
          <w:sz w:val="20"/>
        </w:rPr>
        <w:t>(CA and SUL) for the same</w:t>
      </w:r>
      <w:r>
        <w:rPr>
          <w:rFonts w:hint="eastAsia"/>
          <w:sz w:val="20"/>
        </w:rPr>
        <w:t xml:space="preserve"> functionality (mu</w:t>
      </w:r>
      <w:r>
        <w:rPr>
          <w:sz w:val="20"/>
        </w:rPr>
        <w:t>l</w:t>
      </w:r>
      <w:r>
        <w:rPr>
          <w:rFonts w:hint="eastAsia"/>
          <w:sz w:val="20"/>
        </w:rPr>
        <w:t xml:space="preserve">ti-carrier operation) </w:t>
      </w:r>
      <w:r>
        <w:rPr>
          <w:sz w:val="20"/>
        </w:rPr>
        <w:t>has led</w:t>
      </w:r>
      <w:r>
        <w:rPr>
          <w:rFonts w:hint="eastAsia"/>
          <w:sz w:val="20"/>
        </w:rPr>
        <w:t xml:space="preserve"> to high standardization complexity and market fragmentation.</w:t>
      </w:r>
    </w:p>
    <w:p w14:paraId="7F11CBFA"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t>Switched transmission can be supported by both CA and SUL, but only SUL can be used for the IDLE/INACTIVE state.</w:t>
      </w:r>
    </w:p>
    <w:p w14:paraId="68CB3A84"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t>C</w:t>
      </w:r>
      <w:r>
        <w:rPr>
          <w:rFonts w:hint="eastAsia"/>
          <w:sz w:val="20"/>
        </w:rPr>
        <w:t>oncurrent</w:t>
      </w:r>
      <w:r>
        <w:rPr>
          <w:rFonts w:eastAsia="宋体" w:hint="eastAsia"/>
          <w:sz w:val="20"/>
        </w:rPr>
        <w:t xml:space="preserve"> transmission is only s</w:t>
      </w:r>
      <w:r>
        <w:rPr>
          <w:rFonts w:eastAsia="宋体" w:hint="eastAsia"/>
          <w:sz w:val="20"/>
        </w:rPr>
        <w:t xml:space="preserve">upported by CA for CONNECTED state.  </w:t>
      </w:r>
    </w:p>
    <w:p w14:paraId="5790CE2A" w14:textId="77777777"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hint="eastAsia"/>
          <w:sz w:val="20"/>
        </w:rPr>
        <w:t xml:space="preserve">Only one timing-advance is allowed for one cell with two UL carriers, it is difficult for a single cell to support non-co-located </w:t>
      </w:r>
      <w:r>
        <w:rPr>
          <w:rFonts w:eastAsia="宋体"/>
          <w:sz w:val="20"/>
        </w:rPr>
        <w:t>scenarios</w:t>
      </w:r>
      <w:r>
        <w:rPr>
          <w:rFonts w:eastAsia="宋体" w:hint="eastAsia"/>
          <w:sz w:val="20"/>
        </w:rPr>
        <w:t>.</w:t>
      </w:r>
    </w:p>
    <w:p w14:paraId="694216E5" w14:textId="05A30F96" w:rsidR="00C41F5F" w:rsidRDefault="00832B23">
      <w:pPr>
        <w:pStyle w:val="af9"/>
        <w:numPr>
          <w:ilvl w:val="0"/>
          <w:numId w:val="23"/>
        </w:numPr>
        <w:snapToGrid w:val="0"/>
        <w:spacing w:beforeLines="50" w:before="120" w:after="120" w:line="240" w:lineRule="auto"/>
        <w:ind w:left="363" w:hanging="363"/>
        <w:rPr>
          <w:rFonts w:eastAsia="宋体"/>
          <w:sz w:val="20"/>
        </w:rPr>
      </w:pPr>
      <w:r>
        <w:rPr>
          <w:rFonts w:eastAsia="宋体"/>
          <w:sz w:val="20"/>
        </w:rPr>
        <w:t>In</w:t>
      </w:r>
      <w:r>
        <w:rPr>
          <w:rFonts w:eastAsia="宋体"/>
          <w:sz w:val="20"/>
        </w:rPr>
        <w:t xml:space="preserve">efficient use of fragmented </w:t>
      </w:r>
      <w:r>
        <w:rPr>
          <w:rFonts w:eastAsia="宋体" w:hint="eastAsia"/>
          <w:sz w:val="20"/>
        </w:rPr>
        <w:t>but adjacent spectrum in NR.</w:t>
      </w:r>
    </w:p>
    <w:p w14:paraId="27752FC7" w14:textId="77777777" w:rsidR="00C41F5F" w:rsidRDefault="00832B23">
      <w:pPr>
        <w:pStyle w:val="af9"/>
        <w:numPr>
          <w:ilvl w:val="0"/>
          <w:numId w:val="23"/>
        </w:numPr>
        <w:snapToGrid w:val="0"/>
        <w:spacing w:before="120" w:after="120" w:line="240" w:lineRule="auto"/>
        <w:ind w:left="363" w:hanging="363"/>
        <w:rPr>
          <w:sz w:val="20"/>
        </w:rPr>
      </w:pPr>
      <w:r>
        <w:rPr>
          <w:rFonts w:eastAsia="宋体" w:hint="eastAsia"/>
          <w:sz w:val="20"/>
        </w:rPr>
        <w:t>Ambiguous powe</w:t>
      </w:r>
      <w:r>
        <w:rPr>
          <w:rFonts w:eastAsia="宋体" w:hint="eastAsia"/>
          <w:sz w:val="20"/>
        </w:rPr>
        <w:t>r allocation for aggregated carriers in the case when the total allocated power is beyond UE capability.</w:t>
      </w:r>
      <w:r>
        <w:rPr>
          <w:rFonts w:hint="eastAsia"/>
          <w:sz w:val="20"/>
        </w:rPr>
        <w:t xml:space="preserve"> </w:t>
      </w:r>
      <w:r>
        <w:rPr>
          <w:rFonts w:eastAsia="宋体" w:hint="eastAsia"/>
          <w:sz w:val="20"/>
        </w:rPr>
        <w:t xml:space="preserve">For example, NR </w:t>
      </w:r>
      <w:r>
        <w:rPr>
          <w:rFonts w:hint="eastAsia"/>
          <w:sz w:val="20"/>
        </w:rPr>
        <w:t xml:space="preserve">UE power scaling behavior for channels with the same priority under maximum power limitation in CA remains unclear. </w:t>
      </w:r>
      <w:r>
        <w:rPr>
          <w:rFonts w:eastAsia="宋体" w:hint="eastAsia"/>
          <w:sz w:val="20"/>
        </w:rPr>
        <w:t>gNB is not sure whe</w:t>
      </w:r>
      <w:r>
        <w:rPr>
          <w:rFonts w:eastAsia="宋体" w:hint="eastAsia"/>
          <w:sz w:val="20"/>
        </w:rPr>
        <w:t xml:space="preserve">ther </w:t>
      </w:r>
      <w:r>
        <w:rPr>
          <w:rFonts w:hint="eastAsia"/>
          <w:sz w:val="20"/>
        </w:rPr>
        <w:t xml:space="preserve">SCell transmission </w:t>
      </w:r>
      <w:r>
        <w:rPr>
          <w:rFonts w:eastAsia="宋体" w:hint="eastAsia"/>
          <w:sz w:val="20"/>
        </w:rPr>
        <w:t xml:space="preserve">is </w:t>
      </w:r>
      <w:r>
        <w:rPr>
          <w:rFonts w:hint="eastAsia"/>
          <w:sz w:val="20"/>
        </w:rPr>
        <w:t>at very low power, no transmission, or even equal power allocation with the PCell</w:t>
      </w:r>
      <w:r>
        <w:rPr>
          <w:rFonts w:eastAsia="宋体" w:hint="eastAsia"/>
          <w:sz w:val="20"/>
        </w:rPr>
        <w:t>,</w:t>
      </w:r>
      <w:r>
        <w:rPr>
          <w:rFonts w:hint="eastAsia"/>
          <w:sz w:val="20"/>
        </w:rPr>
        <w:t xml:space="preserve"> and </w:t>
      </w:r>
      <w:r>
        <w:rPr>
          <w:rFonts w:eastAsia="宋体" w:hint="eastAsia"/>
          <w:sz w:val="20"/>
        </w:rPr>
        <w:t xml:space="preserve">this </w:t>
      </w:r>
      <w:r>
        <w:rPr>
          <w:rFonts w:hint="eastAsia"/>
          <w:sz w:val="20"/>
        </w:rPr>
        <w:t>misalignment between gNB scheduling and UE behavior</w:t>
      </w:r>
      <w:r>
        <w:rPr>
          <w:rFonts w:eastAsia="宋体" w:hint="eastAsia"/>
          <w:sz w:val="20"/>
        </w:rPr>
        <w:t xml:space="preserve"> may cause conservative scheduling at gNB side</w:t>
      </w:r>
      <w:r>
        <w:rPr>
          <w:rFonts w:hint="eastAsia"/>
          <w:sz w:val="20"/>
        </w:rPr>
        <w:t xml:space="preserve">, </w:t>
      </w:r>
      <w:r>
        <w:rPr>
          <w:rFonts w:eastAsia="宋体" w:hint="eastAsia"/>
          <w:sz w:val="20"/>
        </w:rPr>
        <w:t xml:space="preserve">and further </w:t>
      </w:r>
      <w:r>
        <w:rPr>
          <w:rFonts w:hint="eastAsia"/>
          <w:sz w:val="20"/>
        </w:rPr>
        <w:t xml:space="preserve">impact </w:t>
      </w:r>
      <w:r>
        <w:rPr>
          <w:rFonts w:eastAsia="宋体" w:hint="eastAsia"/>
          <w:sz w:val="20"/>
        </w:rPr>
        <w:t xml:space="preserve">system </w:t>
      </w:r>
      <w:r>
        <w:rPr>
          <w:rFonts w:hint="eastAsia"/>
          <w:sz w:val="20"/>
        </w:rPr>
        <w:t xml:space="preserve">performance </w:t>
      </w:r>
      <w:r>
        <w:rPr>
          <w:rFonts w:hint="eastAsia"/>
          <w:sz w:val="20"/>
        </w:rPr>
        <w:t>and predictability.</w:t>
      </w:r>
    </w:p>
    <w:p w14:paraId="55B69DF0" w14:textId="71000FBB" w:rsidR="00C41F5F" w:rsidRDefault="00832B23">
      <w:pPr>
        <w:snapToGrid w:val="0"/>
        <w:spacing w:before="120" w:after="120" w:line="240" w:lineRule="auto"/>
        <w:rPr>
          <w:sz w:val="20"/>
        </w:rPr>
      </w:pPr>
      <w:r>
        <w:rPr>
          <w:rFonts w:hint="eastAsia"/>
          <w:sz w:val="20"/>
        </w:rPr>
        <w:lastRenderedPageBreak/>
        <w:t xml:space="preserve">In our view, </w:t>
      </w:r>
      <w:r>
        <w:rPr>
          <w:sz w:val="20"/>
        </w:rPr>
        <w:t>a</w:t>
      </w:r>
      <w:r>
        <w:rPr>
          <w:rFonts w:hint="eastAsia"/>
          <w:sz w:val="20"/>
        </w:rPr>
        <w:t xml:space="preserve"> </w:t>
      </w:r>
      <w:r>
        <w:rPr>
          <w:rFonts w:hint="eastAsia"/>
          <w:sz w:val="20"/>
        </w:rPr>
        <w:t xml:space="preserve">CA framework could serve as a unified framework </w:t>
      </w:r>
      <w:r>
        <w:rPr>
          <w:sz w:val="20"/>
        </w:rPr>
        <w:t xml:space="preserve">in 6GR </w:t>
      </w:r>
      <w:r>
        <w:rPr>
          <w:rFonts w:hint="eastAsia"/>
          <w:sz w:val="20"/>
        </w:rPr>
        <w:t xml:space="preserve">for </w:t>
      </w:r>
      <w:r>
        <w:rPr>
          <w:rFonts w:hint="eastAsia"/>
          <w:sz w:val="20"/>
        </w:rPr>
        <w:t>spectrum utilization, supporting both carrier aggregation and switching/selection functionalities. For both cases w/ and w/o carrier aggregation capabilit</w:t>
      </w:r>
      <w:r>
        <w:rPr>
          <w:rFonts w:hint="eastAsia"/>
          <w:sz w:val="20"/>
        </w:rPr>
        <w:t>y, e.g. in both RRC CONNECTED and IDLE/INACTIVE states, in both co-located and non-co-located scenarios, carrier switching especially for UL can be supported to ensure coverage, and further to improve throughput</w:t>
      </w:r>
      <w:r>
        <w:rPr>
          <w:rFonts w:hint="eastAsia"/>
          <w:sz w:val="20"/>
        </w:rPr>
        <w:t xml:space="preserve">. </w:t>
      </w:r>
    </w:p>
    <w:p w14:paraId="59D5E650" w14:textId="77777777" w:rsidR="00C41F5F" w:rsidRDefault="00832B23">
      <w:pPr>
        <w:snapToGrid w:val="0"/>
        <w:spacing w:before="120" w:after="120" w:line="240" w:lineRule="auto"/>
        <w:rPr>
          <w:sz w:val="20"/>
        </w:rPr>
      </w:pPr>
      <w:r>
        <w:rPr>
          <w:rFonts w:hint="eastAsia"/>
          <w:sz w:val="20"/>
        </w:rPr>
        <w:t>Furthermore, adjacent fragmented carriers with the same numerology, the shared baseband and RF capabilities can be configured in a single cell. In such configurations, PRBs across all physical carriers within the cell are mapped to a set of continuous VRBs</w:t>
      </w:r>
      <w:r>
        <w:rPr>
          <w:rFonts w:hint="eastAsia"/>
          <w:sz w:val="20"/>
        </w:rPr>
        <w:t xml:space="preserve">, forming a virtual carrier/BWP. As shown in the Figure </w:t>
      </w:r>
      <w:r>
        <w:rPr>
          <w:sz w:val="20"/>
        </w:rPr>
        <w:t>8</w:t>
      </w:r>
      <w:r>
        <w:rPr>
          <w:rFonts w:hint="eastAsia"/>
          <w:sz w:val="20"/>
        </w:rPr>
        <w:t>-1, one virtual carrier could comprise multiple scattered physical carriers, the physical layer design for each virtual carrier can just follow single-cell operation in NR, such as PRB allocation, an</w:t>
      </w:r>
      <w:r>
        <w:rPr>
          <w:rFonts w:hint="eastAsia"/>
          <w:sz w:val="20"/>
        </w:rPr>
        <w:t>d HARQ scheduling. This simplifies the specification design with overhead reduction. Among different cells, the CA framework can be reused to support carrier switching or aggregation among cells depending on UE capability.</w:t>
      </w:r>
    </w:p>
    <w:p w14:paraId="7DF17B00" w14:textId="77777777" w:rsidR="00C41F5F" w:rsidRDefault="00832B23">
      <w:pPr>
        <w:snapToGrid w:val="0"/>
        <w:spacing w:before="120" w:after="120" w:line="240" w:lineRule="auto"/>
        <w:rPr>
          <w:sz w:val="20"/>
        </w:rPr>
      </w:pPr>
      <w:r>
        <w:rPr>
          <w:noProof/>
        </w:rPr>
        <w:drawing>
          <wp:inline distT="0" distB="0" distL="114300" distR="114300" wp14:anchorId="30DCD164" wp14:editId="2259B921">
            <wp:extent cx="6125845" cy="1320165"/>
            <wp:effectExtent l="0" t="0" r="635" b="5715"/>
            <wp:docPr id="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
                    <pic:cNvPicPr>
                      <a:picLocks noChangeAspect="1"/>
                    </pic:cNvPicPr>
                  </pic:nvPicPr>
                  <pic:blipFill>
                    <a:blip r:embed="rId15"/>
                    <a:stretch>
                      <a:fillRect/>
                    </a:stretch>
                  </pic:blipFill>
                  <pic:spPr>
                    <a:xfrm>
                      <a:off x="0" y="0"/>
                      <a:ext cx="6125845" cy="1320165"/>
                    </a:xfrm>
                    <a:prstGeom prst="rect">
                      <a:avLst/>
                    </a:prstGeom>
                    <a:noFill/>
                    <a:ln>
                      <a:noFill/>
                    </a:ln>
                  </pic:spPr>
                </pic:pic>
              </a:graphicData>
            </a:graphic>
          </wp:inline>
        </w:drawing>
      </w:r>
    </w:p>
    <w:p w14:paraId="3408BD71" w14:textId="77777777" w:rsidR="00C41F5F" w:rsidRDefault="00832B23">
      <w:pPr>
        <w:pStyle w:val="a4"/>
        <w:snapToGrid w:val="0"/>
        <w:spacing w:before="120" w:after="120" w:line="240" w:lineRule="auto"/>
        <w:jc w:val="center"/>
        <w:rPr>
          <w:rFonts w:ascii="Times New Roman" w:hAnsi="Times New Roman"/>
        </w:rPr>
      </w:pPr>
      <w:r>
        <w:rPr>
          <w:rFonts w:ascii="Times New Roman" w:hAnsi="Times New Roman"/>
        </w:rPr>
        <w:t>Figure 8-</w:t>
      </w:r>
      <w:r>
        <w:rPr>
          <w:rFonts w:ascii="Times New Roman" w:hAnsi="Times New Roman"/>
        </w:rPr>
        <w:fldChar w:fldCharType="begin"/>
      </w:r>
      <w:r>
        <w:rPr>
          <w:rFonts w:ascii="Times New Roman" w:hAnsi="Times New Roman"/>
        </w:rPr>
        <w:instrText xml:space="preserve"> SEQ Figure \* ARABIC \s 1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hint="eastAsia"/>
        </w:rPr>
        <w:t xml:space="preserve"> Unified CA framework for 6GR</w:t>
      </w:r>
    </w:p>
    <w:p w14:paraId="4E585711" w14:textId="77777777" w:rsidR="00C41F5F" w:rsidRDefault="00832B23">
      <w:pPr>
        <w:snapToGrid w:val="0"/>
        <w:spacing w:before="120" w:after="120" w:line="240" w:lineRule="auto"/>
        <w:rPr>
          <w:sz w:val="20"/>
        </w:rPr>
      </w:pPr>
      <w:r>
        <w:rPr>
          <w:rFonts w:hint="eastAsia"/>
          <w:sz w:val="20"/>
        </w:rPr>
        <w:t xml:space="preserve">Furthermore, to address the power control issues observed in NR CA, the unified framework should incorporate enhanced power control mechanisms. These mechanisms should provide explicit rules for </w:t>
      </w:r>
      <w:r>
        <w:rPr>
          <w:rFonts w:hint="eastAsia"/>
          <w:sz w:val="20"/>
        </w:rPr>
        <w:t>power scaling across component carriers when the UE is power-limited, particularly for channels of the same priority, to prevent implementation divergence and ensure consistent network performance.</w:t>
      </w:r>
    </w:p>
    <w:p w14:paraId="2E10F7CD" w14:textId="2C296BE1" w:rsidR="00C41F5F" w:rsidRDefault="00832B23">
      <w:pPr>
        <w:snapToGrid w:val="0"/>
        <w:spacing w:before="120" w:after="120" w:line="240" w:lineRule="auto"/>
        <w:rPr>
          <w:sz w:val="20"/>
        </w:rPr>
      </w:pPr>
      <w:r>
        <w:rPr>
          <w:rFonts w:hint="eastAsia"/>
          <w:sz w:val="20"/>
        </w:rPr>
        <w:t xml:space="preserve">Similar </w:t>
      </w:r>
      <w:r>
        <w:rPr>
          <w:sz w:val="20"/>
        </w:rPr>
        <w:t>to</w:t>
      </w:r>
      <w:r>
        <w:rPr>
          <w:rFonts w:hint="eastAsia"/>
          <w:sz w:val="20"/>
        </w:rPr>
        <w:t xml:space="preserve"> </w:t>
      </w:r>
      <w:r>
        <w:rPr>
          <w:rFonts w:hint="eastAsia"/>
          <w:sz w:val="20"/>
        </w:rPr>
        <w:t xml:space="preserve">other 6GR aspects, </w:t>
      </w:r>
      <w:r>
        <w:rPr>
          <w:rFonts w:hint="eastAsia"/>
          <w:sz w:val="20"/>
        </w:rPr>
        <w:t>a lot of effort</w:t>
      </w:r>
      <w:r>
        <w:rPr>
          <w:sz w:val="20"/>
        </w:rPr>
        <w:t xml:space="preserve"> was spent in previous meetings on</w:t>
      </w:r>
      <w:r>
        <w:rPr>
          <w:rFonts w:hint="eastAsia"/>
          <w:sz w:val="20"/>
        </w:rPr>
        <w:t xml:space="preserve"> discussing the lessons learned from the 5G multiple carrier framework, and from our point of view, it is not necessary to spend more time to make a consensus on 5G lessons, instead, it is more valuable t</w:t>
      </w:r>
      <w:r>
        <w:rPr>
          <w:rFonts w:hint="eastAsia"/>
          <w:sz w:val="20"/>
        </w:rPr>
        <w:t xml:space="preserve">o give some aspects to consider for supporting improved 6GR </w:t>
      </w:r>
      <w:r>
        <w:rPr>
          <w:sz w:val="20"/>
        </w:rPr>
        <w:t>spectrum utilization and operations</w:t>
      </w:r>
      <w:r>
        <w:rPr>
          <w:rFonts w:hint="eastAsia"/>
          <w:sz w:val="20"/>
        </w:rPr>
        <w:t>.</w:t>
      </w:r>
      <w:r>
        <w:rPr>
          <w:rFonts w:eastAsia="Times New Roman"/>
          <w:sz w:val="20"/>
        </w:rPr>
        <w:t xml:space="preserve"> </w:t>
      </w:r>
    </w:p>
    <w:p w14:paraId="5BFF3808" w14:textId="798DB5A4" w:rsidR="00C41F5F" w:rsidRDefault="00832B23">
      <w:pPr>
        <w:snapToGrid w:val="0"/>
        <w:spacing w:before="120" w:after="120" w:line="240" w:lineRule="auto"/>
        <w:rPr>
          <w:i/>
          <w:sz w:val="20"/>
        </w:rPr>
      </w:pPr>
      <w:r>
        <w:rPr>
          <w:b/>
          <w:bCs/>
          <w:i/>
          <w:sz w:val="20"/>
        </w:rPr>
        <w:t>Proposal</w:t>
      </w:r>
      <w:r>
        <w:rPr>
          <w:rFonts w:hint="eastAsia"/>
          <w:b/>
          <w:bCs/>
          <w:i/>
          <w:sz w:val="20"/>
        </w:rPr>
        <w:t xml:space="preserve"> </w:t>
      </w:r>
      <w:r>
        <w:rPr>
          <w:b/>
          <w:bCs/>
          <w:i/>
          <w:sz w:val="20"/>
        </w:rPr>
        <w:t>8</w:t>
      </w:r>
      <w:r>
        <w:rPr>
          <w:rFonts w:hint="eastAsia"/>
          <w:b/>
          <w:bCs/>
          <w:i/>
          <w:sz w:val="20"/>
        </w:rPr>
        <w:t>-1</w:t>
      </w:r>
      <w:r>
        <w:rPr>
          <w:b/>
          <w:bCs/>
          <w:i/>
          <w:sz w:val="20"/>
        </w:rPr>
        <w:t>:</w:t>
      </w:r>
      <w:r>
        <w:rPr>
          <w:rFonts w:hint="eastAsia"/>
          <w:b/>
          <w:bCs/>
          <w:i/>
          <w:sz w:val="20"/>
        </w:rPr>
        <w:t xml:space="preserve"> </w:t>
      </w:r>
      <w:r>
        <w:rPr>
          <w:rFonts w:hint="eastAsia"/>
          <w:i/>
          <w:sz w:val="20"/>
        </w:rPr>
        <w:t xml:space="preserve">High-level aspects to consider for </w:t>
      </w:r>
      <w:r>
        <w:rPr>
          <w:rFonts w:hint="eastAsia"/>
          <w:i/>
          <w:sz w:val="20"/>
        </w:rPr>
        <w:t xml:space="preserve">multi-carrier framework </w:t>
      </w:r>
      <w:r>
        <w:rPr>
          <w:i/>
          <w:sz w:val="20"/>
        </w:rPr>
        <w:t>in</w:t>
      </w:r>
      <w:r>
        <w:rPr>
          <w:i/>
          <w:sz w:val="20"/>
        </w:rPr>
        <w:t xml:space="preserve"> 6GR </w:t>
      </w:r>
      <w:r>
        <w:rPr>
          <w:rFonts w:hint="eastAsia"/>
          <w:i/>
          <w:sz w:val="20"/>
        </w:rPr>
        <w:t>include</w:t>
      </w:r>
      <w:r>
        <w:rPr>
          <w:i/>
          <w:sz w:val="20"/>
        </w:rPr>
        <w:t xml:space="preserve"> </w:t>
      </w:r>
    </w:p>
    <w:p w14:paraId="69156C76" w14:textId="77777777" w:rsidR="00C41F5F" w:rsidRDefault="00832B23">
      <w:pPr>
        <w:numPr>
          <w:ilvl w:val="0"/>
          <w:numId w:val="20"/>
        </w:numPr>
        <w:snapToGrid w:val="0"/>
        <w:spacing w:before="120" w:after="120" w:line="240" w:lineRule="auto"/>
        <w:rPr>
          <w:i/>
          <w:sz w:val="20"/>
        </w:rPr>
      </w:pPr>
      <w:r>
        <w:rPr>
          <w:rFonts w:hint="eastAsia"/>
          <w:i/>
          <w:sz w:val="20"/>
        </w:rPr>
        <w:t>Unified framework for CA and SUL.</w:t>
      </w:r>
    </w:p>
    <w:p w14:paraId="75EED7BC" w14:textId="77777777" w:rsidR="00C41F5F" w:rsidRDefault="00832B23">
      <w:pPr>
        <w:numPr>
          <w:ilvl w:val="0"/>
          <w:numId w:val="20"/>
        </w:numPr>
        <w:snapToGrid w:val="0"/>
        <w:spacing w:before="120" w:after="120" w:line="240" w:lineRule="auto"/>
        <w:rPr>
          <w:i/>
          <w:sz w:val="20"/>
        </w:rPr>
      </w:pPr>
      <w:r>
        <w:rPr>
          <w:rFonts w:hint="eastAsia"/>
          <w:i/>
          <w:sz w:val="20"/>
        </w:rPr>
        <w:t xml:space="preserve">UL/DL decoupling </w:t>
      </w:r>
      <w:r>
        <w:rPr>
          <w:rFonts w:hint="eastAsia"/>
          <w:i/>
          <w:sz w:val="20"/>
        </w:rPr>
        <w:t>to support DL-only and UL-only cell for cost reduction and efficiency improvement</w:t>
      </w:r>
    </w:p>
    <w:p w14:paraId="66D74493" w14:textId="77777777" w:rsidR="00C41F5F" w:rsidRDefault="00832B23">
      <w:pPr>
        <w:numPr>
          <w:ilvl w:val="0"/>
          <w:numId w:val="20"/>
        </w:numPr>
        <w:snapToGrid w:val="0"/>
        <w:spacing w:before="120" w:after="120" w:line="240" w:lineRule="auto"/>
        <w:rPr>
          <w:i/>
          <w:sz w:val="20"/>
        </w:rPr>
      </w:pPr>
      <w:r>
        <w:rPr>
          <w:rFonts w:hint="eastAsia"/>
          <w:i/>
          <w:sz w:val="20"/>
        </w:rPr>
        <w:t>Aggregation of multiple carriers to achieve high throughput</w:t>
      </w:r>
    </w:p>
    <w:p w14:paraId="6B6EB037" w14:textId="77777777" w:rsidR="00C41F5F" w:rsidRDefault="00832B23">
      <w:pPr>
        <w:numPr>
          <w:ilvl w:val="0"/>
          <w:numId w:val="20"/>
        </w:numPr>
        <w:snapToGrid w:val="0"/>
        <w:spacing w:before="120" w:after="120" w:line="240" w:lineRule="auto"/>
        <w:rPr>
          <w:i/>
          <w:sz w:val="20"/>
        </w:rPr>
      </w:pPr>
      <w:r>
        <w:rPr>
          <w:rFonts w:hint="eastAsia"/>
          <w:i/>
          <w:sz w:val="20"/>
        </w:rPr>
        <w:t>Carrier switching capability between lower band and higher band especially for UL coverage in both IDLE/INACTIVE a</w:t>
      </w:r>
      <w:r>
        <w:rPr>
          <w:rFonts w:hint="eastAsia"/>
          <w:i/>
          <w:sz w:val="20"/>
        </w:rPr>
        <w:t>nd CONNECTED states</w:t>
      </w:r>
    </w:p>
    <w:p w14:paraId="106B0EA4" w14:textId="77777777" w:rsidR="00C41F5F" w:rsidRDefault="00832B23">
      <w:pPr>
        <w:numPr>
          <w:ilvl w:val="0"/>
          <w:numId w:val="20"/>
        </w:numPr>
        <w:snapToGrid w:val="0"/>
        <w:spacing w:before="120" w:after="120" w:line="240" w:lineRule="auto"/>
        <w:rPr>
          <w:i/>
          <w:sz w:val="20"/>
        </w:rPr>
      </w:pPr>
      <w:r>
        <w:rPr>
          <w:rFonts w:hint="eastAsia"/>
          <w:i/>
          <w:sz w:val="20"/>
        </w:rPr>
        <w:t xml:space="preserve">Support </w:t>
      </w:r>
      <w:r>
        <w:rPr>
          <w:i/>
          <w:sz w:val="20"/>
        </w:rPr>
        <w:t xml:space="preserve">of </w:t>
      </w:r>
      <w:r>
        <w:rPr>
          <w:rFonts w:hint="eastAsia"/>
          <w:i/>
          <w:sz w:val="20"/>
        </w:rPr>
        <w:t>non-co-located CA scenarios, including corresponding TA and power control enhancements</w:t>
      </w:r>
    </w:p>
    <w:p w14:paraId="761D6957" w14:textId="77777777" w:rsidR="00C41F5F" w:rsidRDefault="00832B23">
      <w:pPr>
        <w:numPr>
          <w:ilvl w:val="0"/>
          <w:numId w:val="20"/>
        </w:numPr>
        <w:snapToGrid w:val="0"/>
        <w:spacing w:before="120" w:after="120" w:line="240" w:lineRule="auto"/>
        <w:rPr>
          <w:i/>
          <w:sz w:val="20"/>
        </w:rPr>
      </w:pPr>
      <w:r>
        <w:rPr>
          <w:rFonts w:hint="eastAsia"/>
          <w:i/>
          <w:sz w:val="20"/>
        </w:rPr>
        <w:t xml:space="preserve">Adjacent fragmented spectrum with the same numerology, the shared baseband and RF capabilities can be aggregated into one virtual carrier </w:t>
      </w:r>
      <w:r>
        <w:rPr>
          <w:rFonts w:hint="eastAsia"/>
          <w:i/>
          <w:sz w:val="20"/>
        </w:rPr>
        <w:t>configured in a single cell.</w:t>
      </w:r>
    </w:p>
    <w:p w14:paraId="615F1E8C" w14:textId="77777777" w:rsidR="00C41F5F" w:rsidRDefault="00832B23">
      <w:pPr>
        <w:numPr>
          <w:ilvl w:val="0"/>
          <w:numId w:val="20"/>
        </w:numPr>
        <w:snapToGrid w:val="0"/>
        <w:spacing w:before="120" w:after="120" w:line="240" w:lineRule="auto"/>
        <w:rPr>
          <w:i/>
          <w:sz w:val="20"/>
        </w:rPr>
      </w:pPr>
      <w:r>
        <w:rPr>
          <w:rFonts w:hint="eastAsia"/>
          <w:i/>
          <w:sz w:val="20"/>
        </w:rPr>
        <w:t>Unambiguous power allocation for concurrent transmissions with the same priority.</w:t>
      </w:r>
    </w:p>
    <w:p w14:paraId="1923C916"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NTN</w:t>
      </w:r>
    </w:p>
    <w:p w14:paraId="0CE61DDF" w14:textId="333241B0" w:rsidR="00C41F5F" w:rsidRDefault="00832B23">
      <w:pPr>
        <w:spacing w:beforeLines="0" w:before="120" w:afterLines="0" w:after="120" w:line="240" w:lineRule="auto"/>
        <w:rPr>
          <w:color w:val="000000"/>
          <w:sz w:val="20"/>
          <w:lang w:eastAsia="en-US"/>
        </w:rPr>
      </w:pPr>
      <w:r>
        <w:rPr>
          <w:color w:val="000000"/>
          <w:sz w:val="20"/>
          <w:lang w:eastAsia="en-US"/>
        </w:rPr>
        <w:t>In 5G NR, NTN with various use cases and assumptions are supported, e.g., data service for handheld device and VSAT UE (e.g., FR2-NTN), IoT s</w:t>
      </w:r>
      <w:r>
        <w:rPr>
          <w:color w:val="000000"/>
          <w:sz w:val="20"/>
          <w:lang w:eastAsia="en-US"/>
        </w:rPr>
        <w:t>ervice for NB-IoT Device. For 6G, as discussed in SA1, these basic use cases (e.g., communication with more challenge requirements) should still be prioritized to provide ubiquitous coverage. With additional</w:t>
      </w:r>
      <w:r>
        <w:rPr>
          <w:color w:val="000000"/>
          <w:sz w:val="20"/>
          <w:lang w:eastAsia="en-US"/>
        </w:rPr>
        <w:t xml:space="preserve"> consideration on the following principle as hi</w:t>
      </w:r>
      <w:r>
        <w:rPr>
          <w:color w:val="000000"/>
          <w:sz w:val="20"/>
          <w:lang w:eastAsia="en-US"/>
        </w:rPr>
        <w:t xml:space="preserve">ghlighted in the SID </w:t>
      </w:r>
      <w:r>
        <w:rPr>
          <w:color w:val="000000"/>
          <w:sz w:val="20"/>
        </w:rPr>
        <w:fldChar w:fldCharType="begin"/>
      </w:r>
      <w:r>
        <w:rPr>
          <w:color w:val="000000"/>
          <w:sz w:val="20"/>
          <w:lang w:eastAsia="en-US"/>
        </w:rPr>
        <w:instrText xml:space="preserve"> REF _Ref205756399 \r \h </w:instrText>
      </w:r>
      <w:r>
        <w:rPr>
          <w:color w:val="000000"/>
          <w:sz w:val="20"/>
        </w:rPr>
        <w:instrText xml:space="preserve"> \* MERGEFORMAT </w:instrText>
      </w:r>
      <w:r>
        <w:rPr>
          <w:color w:val="000000"/>
          <w:sz w:val="20"/>
        </w:rPr>
      </w:r>
      <w:r>
        <w:rPr>
          <w:color w:val="000000"/>
          <w:sz w:val="20"/>
        </w:rPr>
        <w:fldChar w:fldCharType="separate"/>
      </w:r>
      <w:r>
        <w:rPr>
          <w:color w:val="000000"/>
          <w:sz w:val="20"/>
          <w:lang w:eastAsia="en-US"/>
        </w:rPr>
        <w:t>[1]</w:t>
      </w:r>
      <w:r>
        <w:rPr>
          <w:color w:val="000000"/>
          <w:sz w:val="20"/>
        </w:rPr>
        <w:fldChar w:fldCharType="end"/>
      </w:r>
      <w:r>
        <w:rPr>
          <w:color w:val="000000"/>
          <w:sz w:val="20"/>
          <w:lang w:eastAsia="en-US"/>
        </w:rPr>
        <w:t>,</w:t>
      </w:r>
    </w:p>
    <w:tbl>
      <w:tblPr>
        <w:tblStyle w:val="af3"/>
        <w:tblW w:w="0" w:type="auto"/>
        <w:tblLook w:val="04A0" w:firstRow="1" w:lastRow="0" w:firstColumn="1" w:lastColumn="0" w:noHBand="0" w:noVBand="1"/>
      </w:tblPr>
      <w:tblGrid>
        <w:gridCol w:w="9650"/>
      </w:tblGrid>
      <w:tr w:rsidR="00C41F5F" w14:paraId="0078E34D" w14:textId="77777777">
        <w:trPr>
          <w:hidden/>
        </w:trPr>
        <w:tc>
          <w:tcPr>
            <w:tcW w:w="9650" w:type="dxa"/>
          </w:tcPr>
          <w:p w14:paraId="7314B56C" w14:textId="77777777" w:rsidR="00C41F5F" w:rsidRDefault="00C41F5F">
            <w:pPr>
              <w:pStyle w:val="af9"/>
              <w:numPr>
                <w:ilvl w:val="0"/>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7C80E006"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771F46AE"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05E76ED6"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1A93B154"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2F06B617"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2F844A47"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012248EF"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1B54A2B6"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18F2E834" w14:textId="77777777" w:rsidR="00C41F5F" w:rsidRDefault="00C41F5F">
            <w:pPr>
              <w:pStyle w:val="af9"/>
              <w:numPr>
                <w:ilvl w:val="1"/>
                <w:numId w:val="8"/>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14:paraId="39C2C7D4" w14:textId="77777777" w:rsidR="00C41F5F" w:rsidRDefault="00832B23">
            <w:pPr>
              <w:pStyle w:val="af9"/>
              <w:numPr>
                <w:ilvl w:val="1"/>
                <w:numId w:val="8"/>
              </w:numPr>
              <w:overflowPunct w:val="0"/>
              <w:autoSpaceDE w:val="0"/>
              <w:autoSpaceDN w:val="0"/>
              <w:adjustRightInd w:val="0"/>
              <w:spacing w:before="120" w:afterLines="0" w:after="120" w:line="240" w:lineRule="auto"/>
              <w:jc w:val="left"/>
              <w:textAlignment w:val="baseline"/>
              <w:rPr>
                <w:color w:val="000000" w:themeColor="text1"/>
                <w:sz w:val="20"/>
                <w:szCs w:val="20"/>
              </w:rPr>
            </w:pPr>
            <w:r>
              <w:rPr>
                <w:color w:val="000000" w:themeColor="text1"/>
                <w:sz w:val="20"/>
                <w:szCs w:val="20"/>
              </w:rPr>
              <w:t>Aim at a harmonized 6G Radio design for TN and NTN, including their integration.</w:t>
            </w:r>
          </w:p>
        </w:tc>
      </w:tr>
    </w:tbl>
    <w:p w14:paraId="38B4C382" w14:textId="77777777" w:rsidR="00C41F5F" w:rsidRDefault="00832B23">
      <w:pPr>
        <w:spacing w:beforeLines="0" w:before="120" w:afterLines="0" w:after="120" w:line="240" w:lineRule="auto"/>
        <w:rPr>
          <w:sz w:val="20"/>
        </w:rPr>
      </w:pPr>
      <w:r>
        <w:rPr>
          <w:sz w:val="20"/>
        </w:rPr>
        <w:lastRenderedPageBreak/>
        <w:t xml:space="preserve">the following agreement is </w:t>
      </w:r>
      <w:r>
        <w:rPr>
          <w:sz w:val="20"/>
        </w:rPr>
        <w:t>achieved in RAN1#122-bis.</w:t>
      </w:r>
    </w:p>
    <w:tbl>
      <w:tblPr>
        <w:tblStyle w:val="af3"/>
        <w:tblW w:w="0" w:type="auto"/>
        <w:tblLook w:val="04A0" w:firstRow="1" w:lastRow="0" w:firstColumn="1" w:lastColumn="0" w:noHBand="0" w:noVBand="1"/>
      </w:tblPr>
      <w:tblGrid>
        <w:gridCol w:w="9650"/>
      </w:tblGrid>
      <w:tr w:rsidR="00C41F5F" w14:paraId="72008E7A" w14:textId="77777777">
        <w:trPr>
          <w:trHeight w:val="2875"/>
        </w:trPr>
        <w:tc>
          <w:tcPr>
            <w:tcW w:w="9650" w:type="dxa"/>
          </w:tcPr>
          <w:p w14:paraId="09BD3776" w14:textId="77777777" w:rsidR="00C41F5F" w:rsidRDefault="00832B23">
            <w:pPr>
              <w:spacing w:beforeLines="0" w:before="60" w:afterLines="0" w:after="60" w:line="240" w:lineRule="auto"/>
              <w:contextualSpacing/>
              <w:rPr>
                <w:rFonts w:eastAsia="等线"/>
                <w:kern w:val="0"/>
                <w:sz w:val="20"/>
                <w:highlight w:val="green"/>
              </w:rPr>
            </w:pPr>
            <w:r>
              <w:rPr>
                <w:rFonts w:eastAsia="等线"/>
                <w:kern w:val="0"/>
                <w:sz w:val="20"/>
                <w:highlight w:val="green"/>
              </w:rPr>
              <w:t>Agreement</w:t>
            </w:r>
          </w:p>
          <w:p w14:paraId="3B0551A8" w14:textId="77777777" w:rsidR="00C41F5F" w:rsidRDefault="00832B23">
            <w:pPr>
              <w:numPr>
                <w:ilvl w:val="0"/>
                <w:numId w:val="28"/>
              </w:numPr>
              <w:suppressAutoHyphens/>
              <w:spacing w:beforeLines="0" w:before="60" w:afterLines="0" w:after="60" w:line="240" w:lineRule="auto"/>
              <w:ind w:hanging="442"/>
              <w:jc w:val="left"/>
              <w:rPr>
                <w:rFonts w:eastAsia="Batang"/>
                <w:kern w:val="0"/>
                <w:sz w:val="20"/>
              </w:rPr>
            </w:pPr>
            <w:r>
              <w:rPr>
                <w:rFonts w:eastAsia="Batang"/>
                <w:kern w:val="0"/>
                <w:sz w:val="20"/>
              </w:rPr>
              <w:t>The aspects to consider for supporting NTN include, but not limited to</w:t>
            </w:r>
          </w:p>
          <w:p w14:paraId="561A5ED0" w14:textId="77777777" w:rsidR="00C41F5F" w:rsidRDefault="00832B23">
            <w:pPr>
              <w:numPr>
                <w:ilvl w:val="1"/>
                <w:numId w:val="28"/>
              </w:numPr>
              <w:suppressAutoHyphens/>
              <w:spacing w:beforeLines="0" w:before="60" w:afterLines="0" w:after="60" w:line="240" w:lineRule="auto"/>
              <w:ind w:hanging="442"/>
              <w:jc w:val="left"/>
              <w:rPr>
                <w:rFonts w:eastAsia="Batang"/>
                <w:kern w:val="0"/>
                <w:sz w:val="20"/>
              </w:rPr>
            </w:pPr>
            <w:r>
              <w:rPr>
                <w:rFonts w:eastAsia="Batang"/>
                <w:kern w:val="0"/>
                <w:sz w:val="20"/>
              </w:rPr>
              <w:t>Initial access, including cell search and SSB periodicity</w:t>
            </w:r>
          </w:p>
          <w:p w14:paraId="4CB44806" w14:textId="77777777" w:rsidR="00C41F5F" w:rsidRDefault="00832B23">
            <w:pPr>
              <w:numPr>
                <w:ilvl w:val="1"/>
                <w:numId w:val="28"/>
              </w:numPr>
              <w:suppressAutoHyphens/>
              <w:spacing w:beforeLines="0" w:before="60" w:afterLines="0" w:after="60" w:line="240" w:lineRule="auto"/>
              <w:ind w:hanging="442"/>
              <w:jc w:val="left"/>
              <w:rPr>
                <w:rFonts w:eastAsia="Batang"/>
                <w:kern w:val="0"/>
                <w:sz w:val="20"/>
              </w:rPr>
            </w:pPr>
            <w:r>
              <w:rPr>
                <w:rFonts w:eastAsia="Batang"/>
                <w:kern w:val="0"/>
                <w:sz w:val="20"/>
              </w:rPr>
              <w:t>Coverage</w:t>
            </w:r>
          </w:p>
          <w:p w14:paraId="3B3BEEB0" w14:textId="77777777" w:rsidR="00C41F5F" w:rsidRDefault="00832B23">
            <w:pPr>
              <w:numPr>
                <w:ilvl w:val="1"/>
                <w:numId w:val="28"/>
              </w:numPr>
              <w:suppressAutoHyphens/>
              <w:spacing w:beforeLines="0" w:before="60" w:afterLines="0" w:after="60" w:line="240" w:lineRule="auto"/>
              <w:ind w:hanging="442"/>
              <w:jc w:val="left"/>
              <w:rPr>
                <w:rFonts w:eastAsia="Batang"/>
                <w:kern w:val="0"/>
                <w:sz w:val="20"/>
              </w:rPr>
            </w:pPr>
            <w:r>
              <w:rPr>
                <w:rFonts w:eastAsia="Batang"/>
                <w:kern w:val="0"/>
                <w:sz w:val="20"/>
              </w:rPr>
              <w:t>Duplexing</w:t>
            </w:r>
          </w:p>
          <w:p w14:paraId="0540ADFB" w14:textId="77777777" w:rsidR="00C41F5F" w:rsidRDefault="00832B23">
            <w:pPr>
              <w:numPr>
                <w:ilvl w:val="1"/>
                <w:numId w:val="28"/>
              </w:numPr>
              <w:suppressAutoHyphens/>
              <w:spacing w:beforeLines="0" w:before="60" w:afterLines="0" w:after="60" w:line="240" w:lineRule="auto"/>
              <w:ind w:hanging="442"/>
              <w:jc w:val="left"/>
              <w:rPr>
                <w:rFonts w:eastAsia="Batang"/>
                <w:kern w:val="0"/>
                <w:sz w:val="20"/>
              </w:rPr>
            </w:pPr>
            <w:r>
              <w:rPr>
                <w:rFonts w:eastAsia="Batang"/>
                <w:kern w:val="0"/>
                <w:sz w:val="20"/>
              </w:rPr>
              <w:t>Capacity</w:t>
            </w:r>
          </w:p>
          <w:p w14:paraId="1D5F3A12" w14:textId="77777777" w:rsidR="00C41F5F" w:rsidRDefault="00832B23">
            <w:pPr>
              <w:numPr>
                <w:ilvl w:val="1"/>
                <w:numId w:val="28"/>
              </w:numPr>
              <w:suppressAutoHyphens/>
              <w:spacing w:beforeLines="0" w:before="60" w:afterLines="0" w:after="60" w:line="240" w:lineRule="auto"/>
              <w:ind w:hanging="442"/>
              <w:jc w:val="left"/>
              <w:rPr>
                <w:rFonts w:eastAsia="Batang"/>
                <w:kern w:val="0"/>
                <w:sz w:val="20"/>
              </w:rPr>
            </w:pPr>
            <w:r>
              <w:rPr>
                <w:rFonts w:eastAsia="Batang"/>
                <w:kern w:val="0"/>
                <w:sz w:val="20"/>
              </w:rPr>
              <w:t>Signalling overhead</w:t>
            </w:r>
          </w:p>
          <w:p w14:paraId="69438DBE" w14:textId="77777777" w:rsidR="00C41F5F" w:rsidRDefault="00832B23">
            <w:pPr>
              <w:numPr>
                <w:ilvl w:val="1"/>
                <w:numId w:val="28"/>
              </w:numPr>
              <w:suppressAutoHyphens/>
              <w:spacing w:beforeLines="0" w:before="60" w:afterLines="0" w:after="60" w:line="240" w:lineRule="auto"/>
              <w:ind w:hanging="442"/>
              <w:jc w:val="left"/>
              <w:rPr>
                <w:rFonts w:eastAsia="Batang"/>
                <w:kern w:val="0"/>
                <w:sz w:val="20"/>
              </w:rPr>
            </w:pPr>
            <w:r>
              <w:rPr>
                <w:rFonts w:eastAsia="Batang"/>
                <w:kern w:val="0"/>
                <w:sz w:val="20"/>
              </w:rPr>
              <w:t>GNSS-less/resilient/based operation</w:t>
            </w:r>
          </w:p>
          <w:p w14:paraId="5FA19D9E" w14:textId="77777777" w:rsidR="00C41F5F" w:rsidRDefault="00832B23">
            <w:pPr>
              <w:numPr>
                <w:ilvl w:val="1"/>
                <w:numId w:val="28"/>
              </w:numPr>
              <w:suppressAutoHyphens/>
              <w:spacing w:beforeLines="0" w:before="60" w:afterLines="0" w:after="60" w:line="240" w:lineRule="auto"/>
              <w:ind w:hanging="442"/>
              <w:jc w:val="left"/>
              <w:rPr>
                <w:rFonts w:eastAsia="Batang"/>
                <w:kern w:val="0"/>
                <w:sz w:val="20"/>
              </w:rPr>
            </w:pPr>
            <w:r>
              <w:rPr>
                <w:rFonts w:eastAsia="Batang"/>
                <w:kern w:val="0"/>
                <w:sz w:val="20"/>
              </w:rPr>
              <w:t>Large/varying doppler and propagation delay</w:t>
            </w:r>
          </w:p>
          <w:p w14:paraId="5628B04E" w14:textId="77777777" w:rsidR="00C41F5F" w:rsidRDefault="00832B23">
            <w:pPr>
              <w:pStyle w:val="af9"/>
              <w:spacing w:after="120"/>
              <w:rPr>
                <w:rFonts w:eastAsia="Batang"/>
              </w:rPr>
            </w:pPr>
            <w:r>
              <w:rPr>
                <w:rFonts w:eastAsia="Batang"/>
                <w:kern w:val="0"/>
                <w:sz w:val="20"/>
              </w:rPr>
              <w:t>Beamforming / beam management / beam hopping</w:t>
            </w:r>
          </w:p>
        </w:tc>
      </w:tr>
    </w:tbl>
    <w:p w14:paraId="1A66DEFA" w14:textId="2A0EBC67" w:rsidR="00C41F5F" w:rsidRDefault="00832B23">
      <w:pPr>
        <w:spacing w:beforeLines="0" w:before="120" w:afterLines="0" w:after="120" w:line="240" w:lineRule="auto"/>
      </w:pPr>
      <w:r>
        <w:rPr>
          <w:sz w:val="20"/>
        </w:rPr>
        <w:t xml:space="preserve">Then, in this section, the </w:t>
      </w:r>
      <w:r>
        <w:rPr>
          <w:sz w:val="20"/>
        </w:rPr>
        <w:t xml:space="preserve">detailed </w:t>
      </w:r>
      <w:r>
        <w:rPr>
          <w:sz w:val="20"/>
        </w:rPr>
        <w:t xml:space="preserve">analysis on how to reflect the these aspects in the “harmonized” design are elaborated. </w:t>
      </w:r>
    </w:p>
    <w:p w14:paraId="7784CBA6" w14:textId="77777777" w:rsidR="00C41F5F" w:rsidRDefault="00832B23">
      <w:pPr>
        <w:pStyle w:val="2"/>
        <w:keepNext w:val="0"/>
        <w:keepLines w:val="0"/>
        <w:numPr>
          <w:ilvl w:val="1"/>
          <w:numId w:val="1"/>
        </w:numPr>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High-level design consideration</w:t>
      </w:r>
    </w:p>
    <w:p w14:paraId="3C858D4D" w14:textId="77777777" w:rsidR="00C41F5F" w:rsidRDefault="00832B23">
      <w:pPr>
        <w:spacing w:beforeLines="0" w:before="120" w:afterLines="0" w:after="120" w:line="240" w:lineRule="auto"/>
        <w:rPr>
          <w:sz w:val="20"/>
        </w:rPr>
      </w:pPr>
      <w:r>
        <w:rPr>
          <w:sz w:val="20"/>
        </w:rPr>
        <w:t xml:space="preserve">Among all these aspects mentioned in the agreement above, the impacts of the following three </w:t>
      </w:r>
      <w:r>
        <w:rPr>
          <w:sz w:val="20"/>
        </w:rPr>
        <w:t xml:space="preserve">aspects </w:t>
      </w:r>
      <w:r>
        <w:rPr>
          <w:sz w:val="20"/>
        </w:rPr>
        <w:t>should be prioritized in the system design:</w:t>
      </w:r>
    </w:p>
    <w:p w14:paraId="6A8A8F53" w14:textId="77777777" w:rsidR="00C41F5F" w:rsidRDefault="00832B23">
      <w:pPr>
        <w:numPr>
          <w:ilvl w:val="0"/>
          <w:numId w:val="28"/>
        </w:numPr>
        <w:suppressAutoHyphens/>
        <w:spacing w:beforeLines="0" w:before="120" w:afterLines="0" w:after="120" w:line="240" w:lineRule="auto"/>
        <w:jc w:val="left"/>
        <w:rPr>
          <w:rFonts w:eastAsia="Batang"/>
          <w:kern w:val="0"/>
          <w:sz w:val="20"/>
        </w:rPr>
      </w:pPr>
      <w:r>
        <w:rPr>
          <w:rFonts w:eastAsia="Batang"/>
          <w:kern w:val="0"/>
          <w:sz w:val="20"/>
        </w:rPr>
        <w:t>Large/varying doppler and propagation delay</w:t>
      </w:r>
    </w:p>
    <w:p w14:paraId="60A94083" w14:textId="77777777" w:rsidR="00C41F5F" w:rsidRDefault="00832B23">
      <w:pPr>
        <w:numPr>
          <w:ilvl w:val="0"/>
          <w:numId w:val="28"/>
        </w:numPr>
        <w:suppressAutoHyphens/>
        <w:spacing w:beforeLines="0" w:before="120" w:afterLines="0" w:after="120" w:line="240" w:lineRule="auto"/>
        <w:jc w:val="left"/>
        <w:rPr>
          <w:rFonts w:eastAsia="Batang"/>
          <w:kern w:val="0"/>
          <w:sz w:val="20"/>
        </w:rPr>
      </w:pPr>
      <w:r>
        <w:rPr>
          <w:rFonts w:eastAsia="Batang"/>
          <w:kern w:val="0"/>
          <w:sz w:val="20"/>
        </w:rPr>
        <w:t>Beamforming / beam management / beam hopping</w:t>
      </w:r>
    </w:p>
    <w:p w14:paraId="581CC7DE" w14:textId="77777777" w:rsidR="00C41F5F" w:rsidRDefault="00832B23">
      <w:pPr>
        <w:numPr>
          <w:ilvl w:val="0"/>
          <w:numId w:val="28"/>
        </w:numPr>
        <w:suppressAutoHyphens/>
        <w:spacing w:beforeLines="0" w:before="120" w:afterLines="0" w:after="120" w:line="240" w:lineRule="auto"/>
        <w:jc w:val="left"/>
        <w:rPr>
          <w:rFonts w:eastAsia="Batang"/>
          <w:kern w:val="0"/>
          <w:sz w:val="20"/>
        </w:rPr>
      </w:pPr>
      <w:r>
        <w:rPr>
          <w:rFonts w:eastAsia="Batang"/>
          <w:kern w:val="0"/>
          <w:sz w:val="20"/>
        </w:rPr>
        <w:t>GNSS-less/resilient/ba</w:t>
      </w:r>
      <w:r>
        <w:rPr>
          <w:rFonts w:eastAsia="Batang"/>
          <w:kern w:val="0"/>
          <w:sz w:val="20"/>
        </w:rPr>
        <w:t>sed operation</w:t>
      </w:r>
    </w:p>
    <w:p w14:paraId="632C672A" w14:textId="77777777" w:rsidR="00C41F5F" w:rsidRDefault="00832B23">
      <w:pPr>
        <w:suppressAutoHyphens/>
        <w:spacing w:beforeLines="0" w:before="120" w:afterLines="0" w:after="120" w:line="240" w:lineRule="auto"/>
        <w:jc w:val="left"/>
        <w:rPr>
          <w:rFonts w:eastAsia="Batang"/>
          <w:kern w:val="0"/>
          <w:sz w:val="20"/>
        </w:rPr>
      </w:pPr>
      <w:r>
        <w:rPr>
          <w:rFonts w:eastAsia="Batang"/>
          <w:kern w:val="0"/>
          <w:sz w:val="20"/>
        </w:rPr>
        <w:t>More specifically, for the impacts of “Large/varying doppler and propagation delay”, it should be at least addressed in the intial access stage and sch</w:t>
      </w:r>
      <w:r>
        <w:rPr>
          <w:rFonts w:eastAsia="Batang"/>
          <w:kern w:val="0"/>
          <w:sz w:val="20"/>
        </w:rPr>
        <w:t>e</w:t>
      </w:r>
      <w:r>
        <w:rPr>
          <w:rFonts w:eastAsia="Batang"/>
          <w:kern w:val="0"/>
          <w:sz w:val="20"/>
        </w:rPr>
        <w:t>duling part.</w:t>
      </w:r>
    </w:p>
    <w:p w14:paraId="397E9618" w14:textId="11599E1E" w:rsidR="00C41F5F" w:rsidRDefault="00832B23">
      <w:pPr>
        <w:pStyle w:val="af9"/>
        <w:numPr>
          <w:ilvl w:val="0"/>
          <w:numId w:val="29"/>
        </w:numPr>
        <w:spacing w:before="120" w:afterLines="0" w:after="120" w:line="240" w:lineRule="auto"/>
        <w:rPr>
          <w:rFonts w:eastAsia="宋体"/>
          <w:sz w:val="20"/>
          <w:szCs w:val="20"/>
        </w:rPr>
      </w:pPr>
      <w:r>
        <w:rPr>
          <w:sz w:val="20"/>
        </w:rPr>
        <w:t xml:space="preserve">For </w:t>
      </w:r>
      <w:r>
        <w:rPr>
          <w:sz w:val="20"/>
        </w:rPr>
        <w:t xml:space="preserve">initial access procedure: To minimize </w:t>
      </w:r>
      <w:r>
        <w:rPr>
          <w:sz w:val="20"/>
        </w:rPr>
        <w:t xml:space="preserve">“NTN specific design”, the </w:t>
      </w:r>
      <w:r>
        <w:rPr>
          <w:sz w:val="20"/>
        </w:rPr>
        <w:t>p</w:t>
      </w:r>
      <w:r>
        <w:rPr>
          <w:rFonts w:eastAsia="宋体"/>
          <w:sz w:val="20"/>
          <w:szCs w:val="20"/>
        </w:rPr>
        <w:t>re-compensation based approach</w:t>
      </w:r>
      <w:r>
        <w:rPr>
          <w:sz w:val="20"/>
        </w:rPr>
        <w:t xml:space="preserve"> defined in 5G can still be kept as </w:t>
      </w:r>
      <w:r>
        <w:rPr>
          <w:rFonts w:eastAsia="宋体"/>
          <w:sz w:val="20"/>
          <w:szCs w:val="20"/>
        </w:rPr>
        <w:t>baseline</w:t>
      </w:r>
      <w:r>
        <w:rPr>
          <w:sz w:val="20"/>
        </w:rPr>
        <w:t xml:space="preserve"> to avoid </w:t>
      </w:r>
      <w:r>
        <w:rPr>
          <w:sz w:val="20"/>
        </w:rPr>
        <w:t>over-</w:t>
      </w:r>
      <w:r>
        <w:rPr>
          <w:sz w:val="20"/>
        </w:rPr>
        <w:t>complicated RACH design</w:t>
      </w:r>
      <w:r>
        <w:rPr>
          <w:rFonts w:eastAsia="宋体"/>
          <w:sz w:val="20"/>
          <w:szCs w:val="20"/>
        </w:rPr>
        <w:t>.</w:t>
      </w:r>
    </w:p>
    <w:p w14:paraId="4850D668" w14:textId="36139647" w:rsidR="00C41F5F" w:rsidRDefault="00832B23">
      <w:pPr>
        <w:pStyle w:val="af9"/>
        <w:numPr>
          <w:ilvl w:val="1"/>
          <w:numId w:val="29"/>
        </w:numPr>
        <w:spacing w:before="120" w:afterLines="0" w:after="120" w:line="240" w:lineRule="auto"/>
        <w:rPr>
          <w:rFonts w:eastAsia="宋体"/>
          <w:sz w:val="20"/>
          <w:szCs w:val="20"/>
        </w:rPr>
      </w:pPr>
      <w:r>
        <w:rPr>
          <w:sz w:val="20"/>
        </w:rPr>
        <w:t xml:space="preserve">Regarding the needs for </w:t>
      </w:r>
      <w:r>
        <w:rPr>
          <w:rFonts w:eastAsia="宋体"/>
          <w:sz w:val="20"/>
          <w:szCs w:val="20"/>
        </w:rPr>
        <w:t>GNSS-resilience operation</w:t>
      </w:r>
      <w:r>
        <w:rPr>
          <w:sz w:val="20"/>
        </w:rPr>
        <w:t xml:space="preserve">, in addition to impacts on </w:t>
      </w:r>
      <w:r>
        <w:rPr>
          <w:sz w:val="20"/>
        </w:rPr>
        <w:t>PHY layer, the performance of other procedures, e.g., mo</w:t>
      </w:r>
      <w:r>
        <w:rPr>
          <w:sz w:val="20"/>
        </w:rPr>
        <w:t>bility, should also be well investigated since the measurement-based approach is not applicable for NTN cases given the ambiguity between margin and inaccuracy.</w:t>
      </w:r>
    </w:p>
    <w:p w14:paraId="603E3CC1" w14:textId="2878F02B" w:rsidR="00C41F5F" w:rsidRDefault="00832B23">
      <w:pPr>
        <w:pStyle w:val="af9"/>
        <w:numPr>
          <w:ilvl w:val="0"/>
          <w:numId w:val="29"/>
        </w:numPr>
        <w:tabs>
          <w:tab w:val="left" w:pos="1080"/>
          <w:tab w:val="left" w:pos="3240"/>
        </w:tabs>
        <w:spacing w:before="120" w:afterLines="0" w:after="120" w:line="240" w:lineRule="auto"/>
        <w:rPr>
          <w:sz w:val="20"/>
        </w:rPr>
      </w:pPr>
      <w:r>
        <w:rPr>
          <w:bCs/>
          <w:sz w:val="20"/>
        </w:rPr>
        <w:t xml:space="preserve">For </w:t>
      </w:r>
      <w:r>
        <w:rPr>
          <w:bCs/>
          <w:sz w:val="20"/>
        </w:rPr>
        <w:t xml:space="preserve">scheduling (HARQ/Timing): </w:t>
      </w:r>
      <w:r>
        <w:rPr>
          <w:sz w:val="20"/>
        </w:rPr>
        <w:t>For this aspect, the main point is to address the impact of l</w:t>
      </w:r>
      <w:r>
        <w:rPr>
          <w:sz w:val="20"/>
        </w:rPr>
        <w:t>arge RTT, and corresponding design in 5G-A, e.g., large HARQ process number (which is also beneficial for both TN and NTN) and feedback disabling, additional offset for scheduling, can be considered for 6GR.</w:t>
      </w:r>
    </w:p>
    <w:p w14:paraId="4EADA44F" w14:textId="1328C52B" w:rsidR="00C41F5F" w:rsidRDefault="00832B23">
      <w:pPr>
        <w:suppressAutoHyphens/>
        <w:spacing w:beforeLines="0" w:before="120" w:afterLines="0" w:after="120" w:line="240" w:lineRule="auto"/>
        <w:jc w:val="left"/>
        <w:rPr>
          <w:sz w:val="20"/>
        </w:rPr>
      </w:pPr>
      <w:r>
        <w:rPr>
          <w:rFonts w:eastAsia="Batang"/>
          <w:kern w:val="0"/>
          <w:sz w:val="20"/>
        </w:rPr>
        <w:t>Additionally, to enable</w:t>
      </w:r>
      <w:r>
        <w:rPr>
          <w:rFonts w:eastAsia="Batang"/>
          <w:kern w:val="0"/>
          <w:sz w:val="20"/>
        </w:rPr>
        <w:t xml:space="preserve"> </w:t>
      </w:r>
      <w:r>
        <w:rPr>
          <w:rFonts w:eastAsia="Batang"/>
          <w:kern w:val="0"/>
          <w:sz w:val="20"/>
        </w:rPr>
        <w:t xml:space="preserve">beamforming </w:t>
      </w:r>
      <w:r>
        <w:rPr>
          <w:rFonts w:eastAsia="Batang"/>
          <w:kern w:val="0"/>
          <w:sz w:val="20"/>
        </w:rPr>
        <w:t xml:space="preserve">/ beam management / beam hopping, </w:t>
      </w:r>
      <w:r>
        <w:rPr>
          <w:sz w:val="20"/>
        </w:rPr>
        <w:t xml:space="preserve">for </w:t>
      </w:r>
      <w:r>
        <w:rPr>
          <w:sz w:val="20"/>
        </w:rPr>
        <w:t>cell searching, the enhancement at least for all common channel design ar</w:t>
      </w:r>
      <w:r>
        <w:rPr>
          <w:sz w:val="20"/>
        </w:rPr>
        <w:t>e</w:t>
      </w:r>
      <w:r>
        <w:rPr>
          <w:sz w:val="20"/>
        </w:rPr>
        <w:t xml:space="preserve"> required. More specifically, for cell searching, the number of SSBs and periodicity should be enlarged to achieve the 100% serv</w:t>
      </w:r>
      <w:r>
        <w:rPr>
          <w:sz w:val="20"/>
        </w:rPr>
        <w:t xml:space="preserve">ice ratio for the planned footprint. Meanwhile, </w:t>
      </w:r>
      <w:r>
        <w:rPr>
          <w:sz w:val="20"/>
        </w:rPr>
        <w:t xml:space="preserve">beam specific instead of cell specific signalling should also be considered to improve </w:t>
      </w:r>
      <w:r>
        <w:rPr>
          <w:sz w:val="20"/>
        </w:rPr>
        <w:t>efficiency.</w:t>
      </w:r>
    </w:p>
    <w:p w14:paraId="76854FA0" w14:textId="6B71C6A9" w:rsidR="00C41F5F" w:rsidRDefault="00832B23">
      <w:pPr>
        <w:tabs>
          <w:tab w:val="left" w:pos="1080"/>
          <w:tab w:val="left" w:pos="3240"/>
        </w:tabs>
        <w:spacing w:beforeLines="0" w:before="120" w:afterLines="0" w:after="120" w:line="240" w:lineRule="auto"/>
        <w:rPr>
          <w:bCs/>
          <w:sz w:val="20"/>
        </w:rPr>
      </w:pPr>
      <w:r>
        <w:rPr>
          <w:bCs/>
          <w:sz w:val="20"/>
        </w:rPr>
        <w:t>For others, e.g., coverage, the design of 6GR should also take the needs from NTN into account for co</w:t>
      </w:r>
      <w:r>
        <w:rPr>
          <w:bCs/>
          <w:sz w:val="20"/>
        </w:rPr>
        <w:t xml:space="preserve">verage enhancement, e.g., in addition to </w:t>
      </w:r>
      <w:r>
        <w:rPr>
          <w:bCs/>
          <w:sz w:val="20"/>
        </w:rPr>
        <w:t xml:space="preserve">UL, the improvement of DL performance is also expected, which is also applicable for the TN deployment, e.g., in new spectrum. In general, </w:t>
      </w:r>
      <w:r>
        <w:rPr>
          <w:bCs/>
          <w:sz w:val="20"/>
        </w:rPr>
        <w:t>similar solution with same or different configuration (e.g., repetit</w:t>
      </w:r>
      <w:r>
        <w:rPr>
          <w:bCs/>
          <w:sz w:val="20"/>
        </w:rPr>
        <w:t>ion factor) can be considered as baseline.</w:t>
      </w:r>
    </w:p>
    <w:p w14:paraId="734CA0A9" w14:textId="77777777" w:rsidR="00C41F5F" w:rsidRDefault="00832B23">
      <w:pPr>
        <w:tabs>
          <w:tab w:val="left" w:pos="1080"/>
          <w:tab w:val="left" w:pos="3240"/>
        </w:tabs>
        <w:spacing w:beforeLines="0" w:before="120" w:afterLines="0" w:after="120" w:line="240" w:lineRule="auto"/>
        <w:rPr>
          <w:bCs/>
          <w:sz w:val="20"/>
        </w:rPr>
      </w:pPr>
      <w:r>
        <w:rPr>
          <w:bCs/>
          <w:sz w:val="20"/>
        </w:rPr>
        <w:t xml:space="preserve">Regarding the capacity </w:t>
      </w:r>
      <w:r>
        <w:rPr>
          <w:sz w:val="20"/>
        </w:rPr>
        <w:t>improvement, given the limited frequency resource, the non-orthogonal solution, e.g., via the Content-based transmission, can also be considered.</w:t>
      </w:r>
    </w:p>
    <w:p w14:paraId="5DBC7731" w14:textId="06DF359D" w:rsidR="00C41F5F" w:rsidRDefault="00832B23">
      <w:pPr>
        <w:spacing w:beforeLines="0" w:before="120" w:afterLines="0" w:after="120" w:line="240" w:lineRule="auto"/>
        <w:rPr>
          <w:sz w:val="20"/>
        </w:rPr>
      </w:pPr>
      <w:r>
        <w:rPr>
          <w:sz w:val="20"/>
        </w:rPr>
        <w:t xml:space="preserve">For other NTN-oriented features, i.e., motivated by NTN deployment or unique solution identified from NTN, such as multi-orbit communication, TDD in NTN, it’s preferred to initialize study to identify the difference firstly. More specifically, </w:t>
      </w:r>
      <w:r>
        <w:rPr>
          <w:sz w:val="20"/>
        </w:rPr>
        <w:t>TDD patt</w:t>
      </w:r>
      <w:r>
        <w:rPr>
          <w:sz w:val="20"/>
        </w:rPr>
        <w:t xml:space="preserve">ern with longer periodicity is required to address the large RTT. </w:t>
      </w:r>
    </w:p>
    <w:p w14:paraId="22358020" w14:textId="77777777" w:rsidR="00C41F5F" w:rsidRDefault="00832B23">
      <w:pPr>
        <w:spacing w:beforeLines="0" w:before="120" w:afterLines="0" w:after="120" w:line="240" w:lineRule="auto"/>
        <w:rPr>
          <w:sz w:val="20"/>
        </w:rPr>
      </w:pPr>
      <w:r>
        <w:rPr>
          <w:sz w:val="20"/>
        </w:rPr>
        <w:t>Moreover, as declared by many stakeholders, the 5G based NTN will be deployed in upcoming years before 2030, it means that in the future, along with updates of satellites (e.g., LEO), the c</w:t>
      </w:r>
      <w:r>
        <w:rPr>
          <w:sz w:val="20"/>
        </w:rPr>
        <w:t xml:space="preserve">o-existence of 5G and 6G based services, especially over the same frequency is still foreseen since the available spectrum for NTN is limited. In this case, the solution, e.g., MRSS, can be considered.    </w:t>
      </w:r>
    </w:p>
    <w:p w14:paraId="7980FF9F" w14:textId="77777777" w:rsidR="00C41F5F" w:rsidRDefault="00832B23">
      <w:pPr>
        <w:snapToGrid w:val="0"/>
        <w:spacing w:beforeLines="0" w:before="120" w:afterLines="0" w:after="120" w:line="240" w:lineRule="auto"/>
        <w:jc w:val="left"/>
        <w:textAlignment w:val="center"/>
        <w:rPr>
          <w:i/>
          <w:sz w:val="20"/>
          <w:szCs w:val="18"/>
        </w:rPr>
      </w:pPr>
      <w:r>
        <w:rPr>
          <w:b/>
          <w:i/>
          <w:sz w:val="20"/>
        </w:rPr>
        <w:lastRenderedPageBreak/>
        <w:t>Proposal</w:t>
      </w:r>
      <w:r>
        <w:rPr>
          <w:rFonts w:hint="eastAsia"/>
          <w:b/>
          <w:bCs/>
          <w:i/>
          <w:sz w:val="20"/>
        </w:rPr>
        <w:t xml:space="preserve"> </w:t>
      </w:r>
      <w:r>
        <w:rPr>
          <w:b/>
          <w:i/>
          <w:sz w:val="20"/>
        </w:rPr>
        <w:t>9</w:t>
      </w:r>
      <w:r>
        <w:rPr>
          <w:rFonts w:hint="eastAsia"/>
          <w:b/>
          <w:bCs/>
          <w:i/>
          <w:sz w:val="20"/>
        </w:rPr>
        <w:t>-</w:t>
      </w:r>
      <w:r>
        <w:rPr>
          <w:b/>
          <w:bCs/>
          <w:i/>
          <w:sz w:val="20"/>
        </w:rPr>
        <w:t>1</w:t>
      </w:r>
      <w:r>
        <w:rPr>
          <w:rFonts w:hint="eastAsia"/>
          <w:b/>
          <w:bCs/>
          <w:i/>
          <w:sz w:val="20"/>
        </w:rPr>
        <w:t>:</w:t>
      </w:r>
      <w:r>
        <w:rPr>
          <w:b/>
          <w:i/>
          <w:sz w:val="20"/>
        </w:rPr>
        <w:t xml:space="preserve"> </w:t>
      </w:r>
      <w:r>
        <w:rPr>
          <w:i/>
          <w:sz w:val="20"/>
          <w:szCs w:val="18"/>
        </w:rPr>
        <w:t xml:space="preserve">For 6GR, </w:t>
      </w:r>
      <w:r>
        <w:rPr>
          <w:rFonts w:hint="eastAsia"/>
          <w:i/>
          <w:sz w:val="20"/>
          <w:szCs w:val="18"/>
        </w:rPr>
        <w:t xml:space="preserve">the </w:t>
      </w:r>
      <w:r>
        <w:rPr>
          <w:i/>
          <w:sz w:val="20"/>
          <w:szCs w:val="18"/>
        </w:rPr>
        <w:t>harmonized design shoul</w:t>
      </w:r>
      <w:r>
        <w:rPr>
          <w:i/>
          <w:sz w:val="20"/>
          <w:szCs w:val="18"/>
        </w:rPr>
        <w:t xml:space="preserve">d be considered to address the impacts of NTN </w:t>
      </w:r>
      <w:r>
        <w:rPr>
          <w:rFonts w:hint="eastAsia"/>
          <w:i/>
          <w:sz w:val="20"/>
          <w:szCs w:val="18"/>
        </w:rPr>
        <w:t>characteristics</w:t>
      </w:r>
      <w:r>
        <w:rPr>
          <w:i/>
          <w:sz w:val="20"/>
          <w:szCs w:val="18"/>
        </w:rPr>
        <w:t>, especially:</w:t>
      </w:r>
    </w:p>
    <w:p w14:paraId="64DB7936" w14:textId="10B4B45F" w:rsidR="00C41F5F" w:rsidRDefault="00832B23">
      <w:pPr>
        <w:numPr>
          <w:ilvl w:val="0"/>
          <w:numId w:val="20"/>
        </w:numPr>
        <w:snapToGrid w:val="0"/>
        <w:spacing w:beforeLines="0" w:before="120" w:afterLines="0" w:after="120" w:line="240" w:lineRule="auto"/>
        <w:rPr>
          <w:i/>
          <w:sz w:val="20"/>
        </w:rPr>
      </w:pPr>
      <w:r>
        <w:rPr>
          <w:i/>
          <w:sz w:val="20"/>
        </w:rPr>
        <w:t xml:space="preserve">GNSS-based approach should be the basis to minimize </w:t>
      </w:r>
      <w:r>
        <w:rPr>
          <w:i/>
          <w:sz w:val="20"/>
        </w:rPr>
        <w:t xml:space="preserve">any </w:t>
      </w:r>
      <w:r>
        <w:rPr>
          <w:i/>
          <w:sz w:val="20"/>
        </w:rPr>
        <w:t>NTN specific feature in 6G design.</w:t>
      </w:r>
    </w:p>
    <w:p w14:paraId="52C5EF99"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Others</w:t>
      </w:r>
    </w:p>
    <w:p w14:paraId="0E859867" w14:textId="77777777" w:rsidR="00C41F5F" w:rsidRDefault="00832B23">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 w:val="24"/>
          <w:szCs w:val="24"/>
        </w:rPr>
      </w:pPr>
      <w:r>
        <w:rPr>
          <w:rFonts w:ascii="Times New Roman" w:eastAsia="宋体" w:hAnsi="Times New Roman"/>
          <w:b/>
          <w:bCs/>
          <w:sz w:val="24"/>
          <w:szCs w:val="24"/>
        </w:rPr>
        <w:t>ISAC</w:t>
      </w:r>
    </w:p>
    <w:p w14:paraId="36345666" w14:textId="77777777" w:rsidR="00C41F5F" w:rsidRDefault="00832B23">
      <w:pPr>
        <w:snapToGrid w:val="0"/>
        <w:spacing w:before="120" w:after="120" w:line="240" w:lineRule="auto"/>
        <w:rPr>
          <w:sz w:val="20"/>
        </w:rPr>
      </w:pPr>
      <w:r>
        <w:rPr>
          <w:rFonts w:hint="eastAsia"/>
          <w:sz w:val="20"/>
        </w:rPr>
        <w:t>In this section, t</w:t>
      </w:r>
      <w:r>
        <w:rPr>
          <w:sz w:val="20"/>
        </w:rPr>
        <w:t xml:space="preserve">he general views on the </w:t>
      </w:r>
      <w:r>
        <w:rPr>
          <w:rFonts w:hint="eastAsia"/>
          <w:sz w:val="20"/>
        </w:rPr>
        <w:t>skeleton for 6GR sensing</w:t>
      </w:r>
      <w:r>
        <w:rPr>
          <w:sz w:val="20"/>
        </w:rPr>
        <w:t xml:space="preserve"> have been discussed</w:t>
      </w:r>
      <w:r>
        <w:rPr>
          <w:rFonts w:hint="eastAsia"/>
          <w:sz w:val="20"/>
        </w:rPr>
        <w:t xml:space="preserve">. </w:t>
      </w:r>
      <w:r>
        <w:rPr>
          <w:sz w:val="20"/>
        </w:rPr>
        <w:t xml:space="preserve">As shown in Figure 10-1, </w:t>
      </w:r>
      <w:r>
        <w:rPr>
          <w:rFonts w:hint="eastAsia"/>
          <w:sz w:val="20"/>
        </w:rPr>
        <w:t>the basic framework, where we suggest measurement report from UE to BS should be studied for efficient sensing assisting communication, e.g. in physical layer or in a new data plane, and RS configuration to UE</w:t>
      </w:r>
      <w:r>
        <w:rPr>
          <w:rFonts w:hint="eastAsia"/>
          <w:sz w:val="20"/>
        </w:rPr>
        <w:t xml:space="preserve"> should be informed by BS instead of SF for flexible and low latency purpose. </w:t>
      </w:r>
    </w:p>
    <w:p w14:paraId="10E35CA0" w14:textId="77777777" w:rsidR="00C41F5F" w:rsidRDefault="00832B23">
      <w:pPr>
        <w:snapToGrid w:val="0"/>
        <w:spacing w:before="120" w:after="120" w:line="240" w:lineRule="auto"/>
        <w:jc w:val="center"/>
        <w:rPr>
          <w:sz w:val="20"/>
        </w:rPr>
      </w:pPr>
      <w:r>
        <w:rPr>
          <w:noProof/>
          <w:sz w:val="20"/>
        </w:rPr>
        <w:drawing>
          <wp:inline distT="0" distB="0" distL="114300" distR="114300" wp14:anchorId="671FEB9F" wp14:editId="4E9F1B49">
            <wp:extent cx="2858770" cy="2613025"/>
            <wp:effectExtent l="0" t="0" r="17780" b="1587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6"/>
                    <a:stretch>
                      <a:fillRect/>
                    </a:stretch>
                  </pic:blipFill>
                  <pic:spPr>
                    <a:xfrm>
                      <a:off x="0" y="0"/>
                      <a:ext cx="2858770" cy="2613025"/>
                    </a:xfrm>
                    <a:prstGeom prst="rect">
                      <a:avLst/>
                    </a:prstGeom>
                    <a:noFill/>
                    <a:ln>
                      <a:noFill/>
                    </a:ln>
                  </pic:spPr>
                </pic:pic>
              </a:graphicData>
            </a:graphic>
          </wp:inline>
        </w:drawing>
      </w:r>
    </w:p>
    <w:p w14:paraId="7D652A3B" w14:textId="77777777" w:rsidR="00C41F5F" w:rsidRDefault="00832B23">
      <w:pPr>
        <w:snapToGrid w:val="0"/>
        <w:spacing w:before="120" w:after="120" w:line="240" w:lineRule="auto"/>
        <w:jc w:val="center"/>
        <w:rPr>
          <w:sz w:val="20"/>
        </w:rPr>
      </w:pPr>
      <w:r>
        <w:rPr>
          <w:rFonts w:hint="eastAsia"/>
          <w:sz w:val="20"/>
        </w:rPr>
        <w:t>Figure 1</w:t>
      </w:r>
      <w:r>
        <w:rPr>
          <w:sz w:val="20"/>
        </w:rPr>
        <w:t>0</w:t>
      </w:r>
      <w:r>
        <w:rPr>
          <w:rFonts w:hint="eastAsia"/>
          <w:sz w:val="20"/>
        </w:rPr>
        <w:t>-1 Sensing Framework</w:t>
      </w:r>
    </w:p>
    <w:p w14:paraId="2D121DE9" w14:textId="77777777" w:rsidR="00C41F5F" w:rsidRDefault="00832B23">
      <w:pPr>
        <w:snapToGrid w:val="0"/>
        <w:spacing w:before="120" w:after="120" w:line="240" w:lineRule="auto"/>
        <w:rPr>
          <w:b/>
          <w:bCs/>
          <w:i/>
          <w:iCs/>
          <w:sz w:val="20"/>
        </w:rPr>
      </w:pPr>
      <w:r>
        <w:rPr>
          <w:rFonts w:hint="eastAsia"/>
          <w:b/>
          <w:bCs/>
          <w:i/>
          <w:iCs/>
          <w:sz w:val="20"/>
        </w:rPr>
        <w:t>Proposal 1</w:t>
      </w:r>
      <w:r>
        <w:rPr>
          <w:b/>
          <w:bCs/>
          <w:i/>
          <w:iCs/>
          <w:sz w:val="20"/>
        </w:rPr>
        <w:t>0-1-1</w:t>
      </w:r>
      <w:r>
        <w:rPr>
          <w:rFonts w:hint="eastAsia"/>
          <w:b/>
          <w:bCs/>
          <w:i/>
          <w:iCs/>
          <w:sz w:val="20"/>
        </w:rPr>
        <w:t xml:space="preserve">: </w:t>
      </w:r>
      <w:r>
        <w:rPr>
          <w:rFonts w:hint="eastAsia"/>
          <w:i/>
          <w:iCs/>
          <w:sz w:val="20"/>
        </w:rPr>
        <w:t>The following skeleton can be considered for 6GR sensing discussion</w:t>
      </w:r>
    </w:p>
    <w:p w14:paraId="2B122C84" w14:textId="77777777" w:rsidR="00C41F5F" w:rsidRDefault="00832B23">
      <w:pPr>
        <w:pStyle w:val="YJ-Observation"/>
        <w:numPr>
          <w:ilvl w:val="0"/>
          <w:numId w:val="30"/>
        </w:numPr>
        <w:snapToGrid w:val="0"/>
        <w:spacing w:before="120" w:after="120" w:line="240" w:lineRule="auto"/>
        <w:rPr>
          <w:b w:val="0"/>
          <w:bCs w:val="0"/>
          <w:lang w:val="en-US" w:eastAsia="zh-CN"/>
        </w:rPr>
      </w:pPr>
      <w:r>
        <w:rPr>
          <w:rFonts w:hint="eastAsia"/>
          <w:b w:val="0"/>
          <w:bCs w:val="0"/>
          <w:lang w:val="en-US" w:eastAsia="zh-CN"/>
        </w:rPr>
        <w:t>Key performance requirements, and evaluation assumptions inc</w:t>
      </w:r>
      <w:r>
        <w:rPr>
          <w:rFonts w:hint="eastAsia"/>
          <w:b w:val="0"/>
          <w:bCs w:val="0"/>
          <w:lang w:val="en-US" w:eastAsia="zh-CN"/>
        </w:rPr>
        <w:t>luding channel modeling enhancement for new use cases if any</w:t>
      </w:r>
    </w:p>
    <w:p w14:paraId="7342989F" w14:textId="77777777" w:rsidR="00C41F5F" w:rsidRDefault="00832B23">
      <w:pPr>
        <w:pStyle w:val="YJ-Observation"/>
        <w:numPr>
          <w:ilvl w:val="0"/>
          <w:numId w:val="30"/>
        </w:numPr>
        <w:snapToGrid w:val="0"/>
        <w:spacing w:before="120" w:after="120" w:line="240" w:lineRule="auto"/>
        <w:rPr>
          <w:b w:val="0"/>
          <w:bCs w:val="0"/>
          <w:lang w:val="en-US" w:eastAsia="zh-CN"/>
        </w:rPr>
      </w:pPr>
      <w:r>
        <w:rPr>
          <w:rFonts w:hint="eastAsia"/>
          <w:b w:val="0"/>
          <w:bCs w:val="0"/>
          <w:lang w:val="en-US" w:eastAsia="zh-CN"/>
        </w:rPr>
        <w:t>Architecture / Procedures including</w:t>
      </w:r>
    </w:p>
    <w:p w14:paraId="5CE5EF57"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Sensing modes</w:t>
      </w:r>
    </w:p>
    <w:p w14:paraId="7C1BC5E0"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Assistance data among SF, BS and UE</w:t>
      </w:r>
    </w:p>
    <w:p w14:paraId="50832A72"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Measurement request</w:t>
      </w:r>
    </w:p>
    <w:p w14:paraId="53002BDB"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 xml:space="preserve">Measurement report </w:t>
      </w:r>
    </w:p>
    <w:p w14:paraId="489F6599"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UE / TRP capabilities</w:t>
      </w:r>
    </w:p>
    <w:p w14:paraId="26096DC8" w14:textId="77777777" w:rsidR="00C41F5F" w:rsidRDefault="00832B23">
      <w:pPr>
        <w:pStyle w:val="YJ-Observation"/>
        <w:numPr>
          <w:ilvl w:val="0"/>
          <w:numId w:val="30"/>
        </w:numPr>
        <w:snapToGrid w:val="0"/>
        <w:spacing w:before="120" w:after="120" w:line="240" w:lineRule="auto"/>
        <w:rPr>
          <w:b w:val="0"/>
          <w:bCs w:val="0"/>
          <w:lang w:val="en-US" w:eastAsia="zh-CN"/>
        </w:rPr>
      </w:pPr>
      <w:r>
        <w:rPr>
          <w:rFonts w:hint="eastAsia"/>
          <w:b w:val="0"/>
          <w:bCs w:val="0"/>
          <w:lang w:val="en-US" w:eastAsia="zh-CN"/>
        </w:rPr>
        <w:t xml:space="preserve">Sensing RS </w:t>
      </w:r>
    </w:p>
    <w:p w14:paraId="52C56B45"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 xml:space="preserve">including RS type, pattern, </w:t>
      </w:r>
      <w:r>
        <w:rPr>
          <w:rFonts w:hint="eastAsia"/>
          <w:b w:val="0"/>
          <w:bCs w:val="0"/>
          <w:lang w:val="en-US" w:eastAsia="zh-CN"/>
        </w:rPr>
        <w:t>sequence, power control, etc.</w:t>
      </w:r>
    </w:p>
    <w:p w14:paraId="7AB11931" w14:textId="77777777" w:rsidR="00C41F5F" w:rsidRDefault="00832B23">
      <w:pPr>
        <w:pStyle w:val="YJ-Observation"/>
        <w:numPr>
          <w:ilvl w:val="0"/>
          <w:numId w:val="30"/>
        </w:numPr>
        <w:snapToGrid w:val="0"/>
        <w:spacing w:before="120" w:after="120" w:line="240" w:lineRule="auto"/>
        <w:rPr>
          <w:b w:val="0"/>
          <w:bCs w:val="0"/>
          <w:lang w:val="en-US" w:eastAsia="zh-CN"/>
        </w:rPr>
      </w:pPr>
      <w:r>
        <w:rPr>
          <w:rFonts w:hint="eastAsia"/>
          <w:b w:val="0"/>
          <w:bCs w:val="0"/>
          <w:lang w:val="en-US" w:eastAsia="zh-CN"/>
        </w:rPr>
        <w:t>Sensing/Positioning assist communication</w:t>
      </w:r>
    </w:p>
    <w:p w14:paraId="772078EA"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 xml:space="preserve">BS requests UE location/sensing results </w:t>
      </w:r>
    </w:p>
    <w:p w14:paraId="33CB9CA0"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UE measurement report to BS</w:t>
      </w:r>
    </w:p>
    <w:p w14:paraId="25446418" w14:textId="77777777" w:rsidR="00C41F5F" w:rsidRDefault="00832B23">
      <w:pPr>
        <w:pStyle w:val="YJ-Observation"/>
        <w:numPr>
          <w:ilvl w:val="0"/>
          <w:numId w:val="30"/>
        </w:numPr>
        <w:snapToGrid w:val="0"/>
        <w:spacing w:before="120" w:after="120" w:line="240" w:lineRule="auto"/>
        <w:rPr>
          <w:b w:val="0"/>
          <w:bCs w:val="0"/>
          <w:lang w:val="en-US" w:eastAsia="zh-CN"/>
        </w:rPr>
      </w:pPr>
      <w:r>
        <w:rPr>
          <w:rFonts w:hint="eastAsia"/>
          <w:b w:val="0"/>
          <w:bCs w:val="0"/>
          <w:lang w:val="en-US" w:eastAsia="zh-CN"/>
        </w:rPr>
        <w:t>Others at least including</w:t>
      </w:r>
    </w:p>
    <w:p w14:paraId="4BC0A883"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lastRenderedPageBreak/>
        <w:t>How to integrate sensing and positioning, e.g. unified RS for sensing and positioning, sim</w:t>
      </w:r>
      <w:r>
        <w:rPr>
          <w:rFonts w:hint="eastAsia"/>
          <w:b w:val="0"/>
          <w:bCs w:val="0"/>
          <w:lang w:val="en-US" w:eastAsia="zh-CN"/>
        </w:rPr>
        <w:t>plified positioning methods, unified measurement report framework between sensing and positioning</w:t>
      </w:r>
    </w:p>
    <w:p w14:paraId="390D817B" w14:textId="77777777" w:rsidR="00C41F5F" w:rsidRDefault="00832B23">
      <w:pPr>
        <w:pStyle w:val="YJ-Observation"/>
        <w:numPr>
          <w:ilvl w:val="1"/>
          <w:numId w:val="30"/>
        </w:numPr>
        <w:snapToGrid w:val="0"/>
        <w:spacing w:before="120" w:after="120" w:line="240" w:lineRule="auto"/>
        <w:rPr>
          <w:b w:val="0"/>
          <w:bCs w:val="0"/>
          <w:lang w:val="en-US" w:eastAsia="zh-CN"/>
        </w:rPr>
      </w:pPr>
      <w:r>
        <w:rPr>
          <w:rFonts w:hint="eastAsia"/>
          <w:b w:val="0"/>
          <w:bCs w:val="0"/>
          <w:lang w:val="en-US" w:eastAsia="zh-CN"/>
        </w:rPr>
        <w:t>Interference mitigation between sensing and communication</w:t>
      </w:r>
    </w:p>
    <w:p w14:paraId="562D27FF" w14:textId="77777777" w:rsidR="00C41F5F" w:rsidRDefault="00832B23">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Cs w:val="28"/>
        </w:rPr>
      </w:pPr>
      <w:r>
        <w:rPr>
          <w:rFonts w:ascii="Times New Roman" w:eastAsia="宋体" w:hAnsi="Times New Roman" w:hint="eastAsia"/>
          <w:b/>
          <w:bCs/>
          <w:szCs w:val="28"/>
        </w:rPr>
        <w:t>Spectrum efficiency</w:t>
      </w:r>
    </w:p>
    <w:p w14:paraId="1D643316" w14:textId="77777777" w:rsidR="00C41F5F" w:rsidRDefault="00832B23">
      <w:pPr>
        <w:pStyle w:val="3"/>
        <w:numPr>
          <w:ilvl w:val="2"/>
          <w:numId w:val="1"/>
        </w:numPr>
        <w:spacing w:beforeLines="0" w:afterLines="0" w:line="260" w:lineRule="auto"/>
        <w:rPr>
          <w:b/>
          <w:bCs/>
          <w:szCs w:val="24"/>
        </w:rPr>
      </w:pPr>
      <w:r>
        <w:rPr>
          <w:rFonts w:hint="eastAsia"/>
          <w:b/>
          <w:bCs/>
          <w:szCs w:val="24"/>
        </w:rPr>
        <w:t>Design target</w:t>
      </w:r>
    </w:p>
    <w:p w14:paraId="2808977A" w14:textId="77777777" w:rsidR="00C41F5F" w:rsidRDefault="00832B23">
      <w:pPr>
        <w:spacing w:before="120" w:after="120"/>
        <w:rPr>
          <w:rFonts w:eastAsia="微软雅黑"/>
          <w:sz w:val="20"/>
          <w:lang w:val="en-GB"/>
        </w:rPr>
      </w:pPr>
      <w:r>
        <w:rPr>
          <w:rFonts w:eastAsia="微软雅黑"/>
          <w:sz w:val="20"/>
          <w:lang w:val="en-GB"/>
        </w:rPr>
        <w:t>Considering the ambition and performance objectives of 6GR/IMT-203</w:t>
      </w:r>
      <w:r>
        <w:rPr>
          <w:rFonts w:eastAsia="微软雅黑"/>
          <w:sz w:val="20"/>
          <w:lang w:val="en-GB"/>
        </w:rPr>
        <w:t>0, the following design target(s) on spectrum efficiency should be considered per outcome on 6GR-TPR in RAN#109.</w:t>
      </w:r>
    </w:p>
    <w:p w14:paraId="6CA7FDE8" w14:textId="77777777" w:rsidR="00C41F5F" w:rsidRDefault="00832B23">
      <w:pPr>
        <w:pStyle w:val="af9"/>
        <w:numPr>
          <w:ilvl w:val="0"/>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Target-1 Improving average/peak spectral efficiency</w:t>
      </w:r>
      <w:r>
        <w:rPr>
          <w:rFonts w:eastAsia="微软雅黑"/>
          <w:sz w:val="20"/>
          <w:szCs w:val="20"/>
          <w:lang w:val="en-GB"/>
        </w:rPr>
        <w:t xml:space="preserve">: The improvement in average spectral efficiency by 3 times over IMT-2020 has been approved </w:t>
      </w:r>
      <w:r>
        <w:rPr>
          <w:rFonts w:eastAsia="微软雅黑"/>
          <w:sz w:val="20"/>
          <w:szCs w:val="20"/>
          <w:lang w:val="en-GB"/>
        </w:rPr>
        <w:t>for 6GR for indoor hotspot, dense urban and rural. After that, for mid/high-mobility (e.g., 30km/h, 120km/h or even higher), spectral efficiency should be improved by 1</w:t>
      </w:r>
      <w:r>
        <w:rPr>
          <w:rFonts w:eastAsia="微软雅黑" w:hint="eastAsia"/>
          <w:sz w:val="20"/>
          <w:szCs w:val="20"/>
          <w:lang w:val="en-GB"/>
        </w:rPr>
        <w:t>.</w:t>
      </w:r>
      <w:r>
        <w:rPr>
          <w:rFonts w:eastAsia="微软雅黑"/>
          <w:sz w:val="20"/>
          <w:szCs w:val="20"/>
          <w:lang w:val="en-GB"/>
        </w:rPr>
        <w:t>1~1.5 times over IMT-2020. Besides, regarding peak spectral efficiency, the improvement</w:t>
      </w:r>
      <w:r>
        <w:rPr>
          <w:rFonts w:eastAsia="微软雅黑"/>
          <w:sz w:val="20"/>
          <w:szCs w:val="20"/>
          <w:lang w:val="en-GB"/>
        </w:rPr>
        <w:t xml:space="preserve"> of 2 times over IMT-2020 is required for 6GR/IMT-2030.    </w:t>
      </w:r>
    </w:p>
    <w:p w14:paraId="03C49E47" w14:textId="77777777" w:rsidR="00C41F5F" w:rsidRDefault="00832B23">
      <w:pPr>
        <w:pStyle w:val="af9"/>
        <w:numPr>
          <w:ilvl w:val="0"/>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Target-2 Boosting cell-edge spectral efficiency</w:t>
      </w:r>
      <w:r>
        <w:rPr>
          <w:rFonts w:eastAsia="微软雅黑"/>
          <w:sz w:val="20"/>
          <w:szCs w:val="20"/>
          <w:lang w:val="en-GB"/>
        </w:rPr>
        <w:t>: In fact, for 5G NR, UE experience on cell-edge throughput is a bottleneck/pain-point, especially for UL. So, for 6GR, we should significantly incre</w:t>
      </w:r>
      <w:r>
        <w:rPr>
          <w:rFonts w:eastAsia="微软雅黑"/>
          <w:sz w:val="20"/>
          <w:szCs w:val="20"/>
          <w:lang w:val="en-GB"/>
        </w:rPr>
        <w:t>ase cell-edge throughput by 3 times over IMT-2020 to thoroughly improve cell-edge UE experience, e.g., for accommodating immersive communications.</w:t>
      </w:r>
    </w:p>
    <w:p w14:paraId="28F8B9F9" w14:textId="77777777" w:rsidR="00C41F5F" w:rsidRDefault="00832B23">
      <w:pPr>
        <w:pStyle w:val="af9"/>
        <w:numPr>
          <w:ilvl w:val="0"/>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Target-3 Consistent spectral efficiency experience starting from T0</w:t>
      </w:r>
      <w:r>
        <w:rPr>
          <w:rFonts w:eastAsia="微软雅黑"/>
          <w:sz w:val="20"/>
          <w:szCs w:val="20"/>
          <w:lang w:val="en-GB"/>
        </w:rPr>
        <w:t>: The undesirable throughput on the small-</w:t>
      </w:r>
      <w:r>
        <w:rPr>
          <w:rFonts w:eastAsia="微软雅黑"/>
          <w:sz w:val="20"/>
          <w:szCs w:val="20"/>
          <w:lang w:val="en-GB"/>
        </w:rPr>
        <w:t xml:space="preserve">packet-dominant traffic scenario, immersive communication, along with interruption and throughput degradation during handover, creates critical impact(s) on both spectrum efficiency and NW/UE power consumption. </w:t>
      </w:r>
    </w:p>
    <w:p w14:paraId="6903576D" w14:textId="77777777" w:rsidR="00C41F5F" w:rsidRDefault="00832B23">
      <w:pPr>
        <w:pStyle w:val="af9"/>
        <w:numPr>
          <w:ilvl w:val="1"/>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sz w:val="20"/>
          <w:szCs w:val="20"/>
          <w:lang w:val="en-GB"/>
        </w:rPr>
        <w:t xml:space="preserve">Regarding dense-urban – immersive communication, one composite requirement across data rate (DL=30 Mbps/UL=10 Mbps), latency (DL=10ms/UL=30ms, or DL+UL in a total of 40 ms) and packet success probability of 99% and UE number (i.e., 6 per TRxP) is approved </w:t>
      </w:r>
      <w:r>
        <w:rPr>
          <w:rFonts w:eastAsia="微软雅黑"/>
          <w:sz w:val="20"/>
          <w:szCs w:val="20"/>
          <w:lang w:val="en-GB"/>
        </w:rPr>
        <w:t xml:space="preserve">for 6GR/IMT-2030. </w:t>
      </w:r>
    </w:p>
    <w:p w14:paraId="403DE5DC" w14:textId="77777777" w:rsidR="00C41F5F" w:rsidRDefault="00832B23">
      <w:pPr>
        <w:pStyle w:val="af9"/>
        <w:numPr>
          <w:ilvl w:val="1"/>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sz w:val="20"/>
          <w:szCs w:val="20"/>
          <w:lang w:val="en-GB"/>
        </w:rPr>
        <w:t xml:space="preserve">Besides, regarding both cases of transitioning from IDLE/INACTIVE to CONNECTED mode and handover, due to the lack of priori measurement/reporting, DL/UL transmission is forced to utilize fall-back transmission scheme without closed-loop </w:t>
      </w:r>
      <w:r>
        <w:rPr>
          <w:rFonts w:eastAsia="微软雅黑"/>
          <w:sz w:val="20"/>
          <w:szCs w:val="20"/>
          <w:lang w:val="en-GB"/>
        </w:rPr>
        <w:t>precoding on large antenna array and with low MCS, resulting in low throughput right after the transition. Especially for small-packets, the appropriate transmission schemes under link adaptation may not be achieved until the packet transmission completes.</w:t>
      </w:r>
      <w:r>
        <w:rPr>
          <w:rFonts w:eastAsia="微软雅黑"/>
          <w:sz w:val="20"/>
          <w:szCs w:val="20"/>
          <w:lang w:val="en-GB"/>
        </w:rPr>
        <w:t xml:space="preserve"> Considering more efficient small packet transmission, consistent spectral efficiency should be highlighted for 6GR (in 5G, we may only focus on the spectral efficiency on FTP/large packet during connected mode under handover).</w:t>
      </w:r>
    </w:p>
    <w:p w14:paraId="21A80D07" w14:textId="77777777" w:rsidR="00C41F5F" w:rsidRDefault="00832B23">
      <w:pPr>
        <w:spacing w:before="120" w:after="120"/>
        <w:rPr>
          <w:rFonts w:eastAsia="微软雅黑"/>
          <w:i/>
          <w:sz w:val="20"/>
          <w:lang w:val="en-GB"/>
        </w:rPr>
      </w:pPr>
      <w:r>
        <w:rPr>
          <w:b/>
          <w:bCs/>
          <w:i/>
          <w:sz w:val="20"/>
        </w:rPr>
        <w:t>Observation 10-2-1:</w:t>
      </w:r>
      <w:r>
        <w:rPr>
          <w:rFonts w:eastAsia="微软雅黑"/>
          <w:b/>
          <w:i/>
          <w:sz w:val="20"/>
          <w:lang w:val="en-GB"/>
        </w:rPr>
        <w:t xml:space="preserve"> </w:t>
      </w:r>
      <w:r>
        <w:rPr>
          <w:rFonts w:eastAsia="微软雅黑"/>
          <w:i/>
          <w:sz w:val="20"/>
          <w:lang w:val="en-GB"/>
        </w:rPr>
        <w:t xml:space="preserve">For </w:t>
      </w:r>
      <w:r>
        <w:rPr>
          <w:rFonts w:eastAsia="微软雅黑"/>
          <w:i/>
          <w:sz w:val="20"/>
          <w:lang w:val="en-GB"/>
        </w:rPr>
        <w:t>6GR/IMT-2030, compared with 5G-NR, the following design target(s) on spectral efficiency for both DL and UL should be considered:</w:t>
      </w:r>
    </w:p>
    <w:p w14:paraId="470892CB" w14:textId="77777777" w:rsidR="00C41F5F" w:rsidRDefault="00832B23">
      <w:pPr>
        <w:numPr>
          <w:ilvl w:val="0"/>
          <w:numId w:val="20"/>
        </w:numPr>
        <w:snapToGrid w:val="0"/>
        <w:spacing w:before="120" w:after="120" w:line="240" w:lineRule="auto"/>
        <w:rPr>
          <w:i/>
          <w:sz w:val="20"/>
        </w:rPr>
      </w:pPr>
      <w:r>
        <w:rPr>
          <w:i/>
          <w:sz w:val="20"/>
        </w:rPr>
        <w:t>Target-1 Improving average spectral efficiency by 3 times and peak spectral efficiency by 2 times over IMT-2020.</w:t>
      </w:r>
    </w:p>
    <w:p w14:paraId="2EF45A00" w14:textId="77777777" w:rsidR="00C41F5F" w:rsidRDefault="00832B23">
      <w:pPr>
        <w:numPr>
          <w:ilvl w:val="0"/>
          <w:numId w:val="20"/>
        </w:numPr>
        <w:snapToGrid w:val="0"/>
        <w:spacing w:before="120" w:after="120" w:line="240" w:lineRule="auto"/>
        <w:rPr>
          <w:i/>
          <w:sz w:val="20"/>
        </w:rPr>
      </w:pPr>
      <w:r>
        <w:rPr>
          <w:i/>
          <w:sz w:val="20"/>
        </w:rPr>
        <w:t>Target-2 Boos</w:t>
      </w:r>
      <w:r>
        <w:rPr>
          <w:i/>
          <w:sz w:val="20"/>
        </w:rPr>
        <w:t>ting cell-edge spectral efficiency by 3 times over IMT-2020.</w:t>
      </w:r>
    </w:p>
    <w:p w14:paraId="6F2D8D2F" w14:textId="77777777" w:rsidR="00C41F5F" w:rsidRDefault="00832B23">
      <w:pPr>
        <w:numPr>
          <w:ilvl w:val="0"/>
          <w:numId w:val="20"/>
        </w:numPr>
        <w:snapToGrid w:val="0"/>
        <w:spacing w:before="120" w:after="120" w:line="240" w:lineRule="auto"/>
        <w:rPr>
          <w:i/>
          <w:sz w:val="20"/>
        </w:rPr>
      </w:pPr>
      <w:r>
        <w:rPr>
          <w:i/>
          <w:sz w:val="20"/>
        </w:rPr>
        <w:t>Target-3 Consistent spectral efficiency experience starting from T0, especially for small-packet-dominant service, immersive communication and handover.</w:t>
      </w:r>
    </w:p>
    <w:p w14:paraId="418E4673" w14:textId="77777777" w:rsidR="00C41F5F" w:rsidRDefault="00832B23">
      <w:pPr>
        <w:pStyle w:val="3"/>
        <w:numPr>
          <w:ilvl w:val="2"/>
          <w:numId w:val="1"/>
        </w:numPr>
        <w:spacing w:beforeLines="0" w:afterLines="0" w:line="260" w:lineRule="auto"/>
        <w:rPr>
          <w:b/>
          <w:bCs/>
          <w:szCs w:val="24"/>
        </w:rPr>
      </w:pPr>
      <w:r>
        <w:rPr>
          <w:rFonts w:hint="eastAsia"/>
          <w:b/>
          <w:bCs/>
          <w:szCs w:val="24"/>
        </w:rPr>
        <w:t>High-level design consideration</w:t>
      </w:r>
    </w:p>
    <w:p w14:paraId="0A3185B8" w14:textId="77777777" w:rsidR="00C41F5F" w:rsidRDefault="00832B23">
      <w:pPr>
        <w:spacing w:before="120" w:after="120"/>
        <w:rPr>
          <w:rFonts w:eastAsia="微软雅黑"/>
          <w:sz w:val="20"/>
          <w:lang w:val="en-GB"/>
        </w:rPr>
      </w:pPr>
      <w:r>
        <w:rPr>
          <w:rFonts w:eastAsia="微软雅黑"/>
          <w:sz w:val="20"/>
          <w:lang w:val="en-GB"/>
        </w:rPr>
        <w:t>In general</w:t>
      </w:r>
      <w:r>
        <w:rPr>
          <w:rFonts w:eastAsia="微软雅黑"/>
          <w:sz w:val="20"/>
          <w:lang w:val="en-GB"/>
        </w:rPr>
        <w:t xml:space="preserve">, it is expected that improvements on spectrum efficiency for 6GR is mainly contributed by multi-antenna schemes (MIMO). To achieve spectral efficiency improvements, we believe the following advanced technical schemes for multi-antenna operation should be </w:t>
      </w:r>
      <w:r>
        <w:rPr>
          <w:rFonts w:eastAsia="微软雅黑"/>
          <w:sz w:val="20"/>
          <w:lang w:val="en-GB"/>
        </w:rPr>
        <w:t>considered in 6G Day-1:</w:t>
      </w:r>
    </w:p>
    <w:p w14:paraId="28E39273" w14:textId="77777777" w:rsidR="00C41F5F" w:rsidRDefault="00832B23">
      <w:pPr>
        <w:pStyle w:val="af9"/>
        <w:numPr>
          <w:ilvl w:val="0"/>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lastRenderedPageBreak/>
        <w:t>Scheme-1 Ultra-massive MIMO for NW and UE</w:t>
      </w:r>
      <w:r>
        <w:rPr>
          <w:rFonts w:eastAsia="微软雅黑"/>
          <w:sz w:val="20"/>
          <w:szCs w:val="20"/>
          <w:lang w:val="en-GB"/>
        </w:rPr>
        <w:t xml:space="preserve">: Scheme-1 aims to compensate link-budget loss due to higher frequency and to maximize spatial multiplexing and diversity gains. </w:t>
      </w:r>
    </w:p>
    <w:p w14:paraId="3D761EDE" w14:textId="77777777" w:rsidR="00C41F5F" w:rsidRDefault="00832B23">
      <w:pPr>
        <w:pStyle w:val="af9"/>
        <w:numPr>
          <w:ilvl w:val="1"/>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hint="eastAsia"/>
          <w:sz w:val="20"/>
          <w:lang w:val="en-GB"/>
        </w:rPr>
        <w:t>W</w:t>
      </w:r>
      <w:r>
        <w:rPr>
          <w:rFonts w:eastAsia="微软雅黑"/>
          <w:sz w:val="20"/>
          <w:lang w:val="en-GB"/>
        </w:rPr>
        <w:t>hile enabling U6GHz and FR3 communications with spectral eff</w:t>
      </w:r>
      <w:r>
        <w:rPr>
          <w:rFonts w:eastAsia="微软雅黑"/>
          <w:sz w:val="20"/>
          <w:lang w:val="en-GB"/>
        </w:rPr>
        <w:t>iciency improvement, the corresponding link budget loss over 3.5GHz should be compensated by beam-forming gain based on having much more antenna elements. It is expected that ultra-massive MIMO (e.g., 128T1024</w:t>
      </w:r>
      <w:r>
        <w:rPr>
          <w:rFonts w:eastAsia="微软雅黑" w:hint="eastAsia"/>
          <w:sz w:val="20"/>
          <w:lang w:val="en-GB"/>
        </w:rPr>
        <w:t>A</w:t>
      </w:r>
      <w:r>
        <w:rPr>
          <w:rFonts w:eastAsia="微软雅黑"/>
          <w:sz w:val="20"/>
          <w:lang w:val="en-GB"/>
        </w:rPr>
        <w:t>, 256T1024</w:t>
      </w:r>
      <w:r>
        <w:rPr>
          <w:rFonts w:eastAsia="微软雅黑" w:hint="eastAsia"/>
          <w:sz w:val="20"/>
          <w:lang w:val="en-GB"/>
        </w:rPr>
        <w:t>A</w:t>
      </w:r>
      <w:r>
        <w:rPr>
          <w:rFonts w:eastAsia="微软雅黑"/>
          <w:sz w:val="20"/>
          <w:lang w:val="en-GB"/>
        </w:rPr>
        <w:t xml:space="preserve"> or 512T2048</w:t>
      </w:r>
      <w:r>
        <w:rPr>
          <w:rFonts w:eastAsia="微软雅黑" w:hint="eastAsia"/>
          <w:sz w:val="20"/>
          <w:lang w:val="en-GB"/>
        </w:rPr>
        <w:t>A</w:t>
      </w:r>
      <w:r>
        <w:rPr>
          <w:rFonts w:eastAsia="微软雅黑"/>
          <w:sz w:val="20"/>
          <w:lang w:val="en-GB"/>
        </w:rPr>
        <w:t>) can bring significan</w:t>
      </w:r>
      <w:r>
        <w:rPr>
          <w:rFonts w:eastAsia="微软雅黑"/>
          <w:sz w:val="20"/>
          <w:lang w:val="en-GB"/>
        </w:rPr>
        <w:t xml:space="preserve">t gains and outperform the typical NR operations. </w:t>
      </w:r>
    </w:p>
    <w:p w14:paraId="778B035C" w14:textId="77777777" w:rsidR="00C41F5F" w:rsidRDefault="00832B23">
      <w:pPr>
        <w:pStyle w:val="af9"/>
        <w:numPr>
          <w:ilvl w:val="1"/>
          <w:numId w:val="31"/>
        </w:numPr>
        <w:adjustRightInd w:val="0"/>
        <w:snapToGrid w:val="0"/>
        <w:spacing w:beforeLines="30" w:before="72" w:afterLines="30" w:after="72" w:line="288" w:lineRule="auto"/>
        <w:contextualSpacing w:val="0"/>
        <w:rPr>
          <w:rFonts w:eastAsia="微软雅黑"/>
          <w:sz w:val="20"/>
          <w:szCs w:val="20"/>
          <w:lang w:val="en-GB"/>
        </w:rPr>
      </w:pPr>
      <w:r>
        <w:rPr>
          <w:sz w:val="20"/>
        </w:rPr>
        <w:t>Then, with higher frequency bands, deploying more Tx/Rx antennas in the hand-held terminal becomes possible as another critical enhancement. Besides for CPE/FWA, also for handheld devices in high frequency</w:t>
      </w:r>
      <w:r>
        <w:rPr>
          <w:sz w:val="20"/>
        </w:rPr>
        <w:t xml:space="preserve"> bands (e.g., U6GHz), the increase of TX/RX from 1T/4R or 2T/4R to 4T/8R brings significant gains on both average and cell-edge UPT(s), while supporting</w:t>
      </w:r>
      <w:r>
        <w:rPr>
          <w:rFonts w:eastAsia="宋体" w:hint="eastAsia"/>
          <w:sz w:val="20"/>
        </w:rPr>
        <w:t xml:space="preserve"> </w:t>
      </w:r>
      <w:r>
        <w:rPr>
          <w:sz w:val="20"/>
        </w:rPr>
        <w:t>high resolution/frequency-selective UL precoding with appropriate precoding indication procedure</w:t>
      </w:r>
      <w:r>
        <w:rPr>
          <w:rFonts w:eastAsia="宋体"/>
          <w:sz w:val="20"/>
        </w:rPr>
        <w:t xml:space="preserve">, </w:t>
      </w:r>
      <w:r>
        <w:rPr>
          <w:rFonts w:eastAsia="宋体" w:hint="eastAsia"/>
          <w:sz w:val="20"/>
        </w:rPr>
        <w:t xml:space="preserve">such </w:t>
      </w:r>
      <w:r>
        <w:rPr>
          <w:rFonts w:eastAsia="宋体" w:hint="eastAsia"/>
          <w:sz w:val="20"/>
        </w:rPr>
        <w:t xml:space="preserve">as unified TCI-like.  </w:t>
      </w:r>
    </w:p>
    <w:p w14:paraId="2B0CE306" w14:textId="77777777" w:rsidR="00C41F5F" w:rsidRDefault="00832B23">
      <w:pPr>
        <w:pStyle w:val="af9"/>
        <w:adjustRightInd w:val="0"/>
        <w:snapToGrid w:val="0"/>
        <w:spacing w:beforeLines="30" w:before="72" w:afterLines="30" w:after="72" w:line="288" w:lineRule="auto"/>
        <w:contextualSpacing w:val="0"/>
        <w:rPr>
          <w:rFonts w:eastAsia="微软雅黑"/>
          <w:sz w:val="20"/>
          <w:szCs w:val="20"/>
        </w:rPr>
      </w:pPr>
      <w:r>
        <w:rPr>
          <w:rFonts w:eastAsia="微软雅黑"/>
          <w:sz w:val="20"/>
          <w:szCs w:val="20"/>
        </w:rPr>
        <w:t xml:space="preserve">As the number of antenna ports increases, reducing potentially huge RS overhead (including DMRS, CSI-RS and even SRS) is essential for improving 6GR </w:t>
      </w:r>
      <w:r>
        <w:rPr>
          <w:rFonts w:eastAsia="微软雅黑" w:hint="eastAsia"/>
          <w:sz w:val="20"/>
          <w:szCs w:val="20"/>
        </w:rPr>
        <w:t>spectrum</w:t>
      </w:r>
      <w:r>
        <w:rPr>
          <w:rFonts w:eastAsia="微软雅黑"/>
          <w:sz w:val="20"/>
          <w:szCs w:val="20"/>
        </w:rPr>
        <w:t xml:space="preserve"> efficiency. Furthermore, advanced techniques, such as AI/ML-based channel p</w:t>
      </w:r>
      <w:r>
        <w:rPr>
          <w:rFonts w:eastAsia="微软雅黑"/>
          <w:sz w:val="20"/>
          <w:szCs w:val="20"/>
        </w:rPr>
        <w:t>rediction and</w:t>
      </w:r>
      <w:r>
        <w:rPr>
          <w:rFonts w:eastAsia="微软雅黑" w:hint="eastAsia"/>
          <w:sz w:val="20"/>
          <w:szCs w:val="20"/>
        </w:rPr>
        <w:t xml:space="preserve"> </w:t>
      </w:r>
      <w:r>
        <w:rPr>
          <w:rFonts w:eastAsia="微软雅黑"/>
          <w:sz w:val="20"/>
          <w:szCs w:val="20"/>
        </w:rPr>
        <w:t xml:space="preserve">R-ML receiver, etc., may also be considered. </w:t>
      </w:r>
    </w:p>
    <w:p w14:paraId="286E27BC" w14:textId="77777777" w:rsidR="00C41F5F" w:rsidRDefault="00832B23">
      <w:pPr>
        <w:pStyle w:val="af9"/>
        <w:numPr>
          <w:ilvl w:val="0"/>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Scheme-2 Coherent joint transmission/reception</w:t>
      </w:r>
      <w:r>
        <w:rPr>
          <w:rFonts w:eastAsia="微软雅黑"/>
          <w:sz w:val="20"/>
          <w:szCs w:val="20"/>
          <w:lang w:val="en-GB"/>
        </w:rPr>
        <w:t xml:space="preserve">: Scheme-2 aims to significantly improve UE cell-edge UPT while still benefiting average UPT, through using distributed MIMO. </w:t>
      </w:r>
      <w:r>
        <w:rPr>
          <w:rFonts w:eastAsia="微软雅黑"/>
          <w:sz w:val="20"/>
          <w:lang w:val="en-GB"/>
        </w:rPr>
        <w:t xml:space="preserve">Through joint DL/UL precoding across different TRPs (e.g., via using distributed codebook for DL/UL and extending </w:t>
      </w:r>
      <w:r>
        <w:rPr>
          <w:rFonts w:eastAsia="微软雅黑"/>
          <w:sz w:val="20"/>
          <w:szCs w:val="20"/>
          <w:lang w:val="en-GB"/>
        </w:rPr>
        <w:t xml:space="preserve">#. </w:t>
      </w:r>
      <w:r>
        <w:rPr>
          <w:rFonts w:eastAsia="微软雅黑"/>
          <w:sz w:val="20"/>
          <w:lang w:val="en-GB"/>
        </w:rPr>
        <w:t>co-ordinated TRP(s)), coherent joint transmission/reception can significantly improve spatial multiplexing gain (i.e., Tx/Rx RANK increase)</w:t>
      </w:r>
      <w:r>
        <w:rPr>
          <w:rFonts w:eastAsia="微软雅黑"/>
          <w:sz w:val="20"/>
          <w:lang w:val="en-GB"/>
        </w:rPr>
        <w:t xml:space="preserve"> and mitigating inter-UE interference in MU-MIMO. Meanwhile, for high-speed-train scenario (HST), CJT/SFN should be considered as a starting point of improving the capacity/robustness of HST network with ‘TRP-to-UE-group’-specific pre-compensation, e.g., s</w:t>
      </w:r>
      <w:r>
        <w:rPr>
          <w:rFonts w:eastAsia="微软雅黑"/>
          <w:sz w:val="20"/>
          <w:lang w:val="en-GB"/>
        </w:rPr>
        <w:t xml:space="preserve">emi-closed-loop SU/MU-MIMO (WB/long-term). </w:t>
      </w:r>
    </w:p>
    <w:p w14:paraId="24F726DF" w14:textId="77777777" w:rsidR="00C41F5F" w:rsidRDefault="00832B23">
      <w:pPr>
        <w:pStyle w:val="af9"/>
        <w:numPr>
          <w:ilvl w:val="0"/>
          <w:numId w:val="31"/>
        </w:numPr>
        <w:adjustRightInd w:val="0"/>
        <w:snapToGrid w:val="0"/>
        <w:spacing w:beforeLines="30" w:before="72" w:afterLines="30" w:after="72" w:line="288" w:lineRule="auto"/>
        <w:contextualSpacing w:val="0"/>
        <w:rPr>
          <w:rFonts w:eastAsia="微软雅黑"/>
          <w:sz w:val="20"/>
          <w:szCs w:val="20"/>
          <w:lang w:val="en-GB"/>
        </w:rPr>
      </w:pPr>
      <w:r>
        <w:rPr>
          <w:rFonts w:eastAsia="微软雅黑"/>
          <w:b/>
          <w:sz w:val="20"/>
          <w:szCs w:val="20"/>
          <w:lang w:val="en-GB"/>
        </w:rPr>
        <w:t>Scheme-3 UE-perceived cell-free operation starting from T0</w:t>
      </w:r>
      <w:r>
        <w:rPr>
          <w:rFonts w:eastAsia="微软雅黑"/>
          <w:sz w:val="20"/>
          <w:szCs w:val="20"/>
          <w:lang w:val="en-GB"/>
        </w:rPr>
        <w:t>: Scheme-3 aims to</w:t>
      </w:r>
      <w:r>
        <w:rPr>
          <w:rFonts w:eastAsia="微软雅黑"/>
          <w:sz w:val="20"/>
          <w:szCs w:val="20"/>
        </w:rPr>
        <w:t xml:space="preserve"> enable L1/L2-level multi-TRP/virtual-cell-cluster management starting from initial access for both FR1 and FR2.</w:t>
      </w:r>
      <w:r>
        <w:rPr>
          <w:rFonts w:eastAsia="微软雅黑"/>
          <w:sz w:val="20"/>
          <w:szCs w:val="20"/>
          <w:lang w:val="en-GB"/>
        </w:rPr>
        <w:t xml:space="preserve"> </w:t>
      </w:r>
      <w:r>
        <w:rPr>
          <w:rFonts w:eastAsia="微软雅黑"/>
          <w:sz w:val="20"/>
          <w:lang w:val="en-GB"/>
        </w:rPr>
        <w:t>In 6G, cell-free operat</w:t>
      </w:r>
      <w:r>
        <w:rPr>
          <w:rFonts w:eastAsia="微软雅黑"/>
          <w:sz w:val="20"/>
          <w:lang w:val="en-GB"/>
        </w:rPr>
        <w:t xml:space="preserve">ion should start from T0 (i.e., initial access, </w:t>
      </w:r>
      <w:r>
        <w:rPr>
          <w:rFonts w:eastAsia="微软雅黑"/>
          <w:sz w:val="20"/>
          <w:szCs w:val="20"/>
          <w:lang w:val="en-GB"/>
        </w:rPr>
        <w:t>transitioning from IDLE/INACTIVE to CONNECTED</w:t>
      </w:r>
      <w:r>
        <w:rPr>
          <w:rFonts w:eastAsia="微软雅黑"/>
          <w:sz w:val="20"/>
          <w:lang w:val="en-GB"/>
        </w:rPr>
        <w:t>, and inter-/intra-cell-cluster switching/handover). F</w:t>
      </w:r>
      <w:r>
        <w:rPr>
          <w:rFonts w:eastAsia="微软雅黑"/>
          <w:sz w:val="20"/>
        </w:rPr>
        <w:t>or both IDLE and CONNECTED, we should enable TRP specific SSB-cluster (CDMed/SFNed across different TRPs), PR</w:t>
      </w:r>
      <w:r>
        <w:rPr>
          <w:rFonts w:eastAsia="微软雅黑"/>
          <w:sz w:val="20"/>
        </w:rPr>
        <w:t>ACH transmission occasion (RO), etc., for initial access procedure. Then, during transitioning to CONNECTED and intra/inter-cell-cluster switching, early-triggering SRS/CSI-RS/CSI-acquisition for accelerating link adaptation and assessment/prediction of tr</w:t>
      </w:r>
      <w:r>
        <w:rPr>
          <w:rFonts w:eastAsia="微软雅黑"/>
          <w:sz w:val="20"/>
        </w:rPr>
        <w:t xml:space="preserve">affic payload of target TRP/cell-cluster should be considered to avoid data rate degradation while keeping consistent UE experience. </w:t>
      </w:r>
    </w:p>
    <w:p w14:paraId="389B0F1B" w14:textId="77777777" w:rsidR="00C41F5F" w:rsidRDefault="00832B23">
      <w:pPr>
        <w:pStyle w:val="af9"/>
        <w:numPr>
          <w:ilvl w:val="0"/>
          <w:numId w:val="31"/>
        </w:numPr>
        <w:adjustRightInd w:val="0"/>
        <w:snapToGrid w:val="0"/>
        <w:spacing w:beforeLines="30" w:before="72" w:afterLines="30" w:after="72" w:line="288" w:lineRule="auto"/>
        <w:rPr>
          <w:rFonts w:eastAsia="微软雅黑"/>
          <w:sz w:val="20"/>
          <w:szCs w:val="20"/>
          <w:lang w:val="en-GB"/>
        </w:rPr>
      </w:pPr>
      <w:r>
        <w:rPr>
          <w:rFonts w:eastAsia="微软雅黑"/>
          <w:b/>
          <w:sz w:val="20"/>
          <w:szCs w:val="20"/>
          <w:lang w:val="en-GB"/>
        </w:rPr>
        <w:t xml:space="preserve">Scheme-4 Near field communications: </w:t>
      </w:r>
      <w:r>
        <w:rPr>
          <w:rFonts w:eastAsia="微软雅黑"/>
          <w:sz w:val="20"/>
          <w:szCs w:val="20"/>
          <w:lang w:val="en-GB"/>
        </w:rPr>
        <w:t>Scheme-4 aims to</w:t>
      </w:r>
      <w:r>
        <w:rPr>
          <w:rFonts w:eastAsia="微软雅黑"/>
          <w:b/>
          <w:sz w:val="20"/>
          <w:szCs w:val="20"/>
          <w:lang w:val="en-GB"/>
        </w:rPr>
        <w:t xml:space="preserve"> </w:t>
      </w:r>
      <w:r>
        <w:rPr>
          <w:rFonts w:eastAsia="微软雅黑"/>
          <w:sz w:val="20"/>
          <w:szCs w:val="20"/>
          <w:lang w:val="en-GB"/>
        </w:rPr>
        <w:t>achieve extremely large NW-specific and UE-perceived throughput in 6G</w:t>
      </w:r>
      <w:r>
        <w:rPr>
          <w:rFonts w:eastAsia="微软雅黑"/>
          <w:sz w:val="20"/>
          <w:szCs w:val="20"/>
          <w:lang w:val="en-GB"/>
        </w:rPr>
        <w:t xml:space="preserve"> in near field scenarios. Near-field channel exhibits spherical wave characteristics and brings </w:t>
      </w:r>
      <w:r>
        <w:rPr>
          <w:rFonts w:eastAsia="微软雅黑" w:hint="eastAsia"/>
          <w:sz w:val="20"/>
          <w:szCs w:val="20"/>
          <w:lang w:val="en-GB"/>
        </w:rPr>
        <w:t>the</w:t>
      </w:r>
      <w:r>
        <w:rPr>
          <w:rFonts w:eastAsia="微软雅黑"/>
          <w:sz w:val="20"/>
          <w:szCs w:val="20"/>
          <w:lang w:val="en-GB"/>
        </w:rPr>
        <w:t xml:space="preserve"> gains on spatial multiplexing, e.g., distributed-MIMO-like performance gains under localized deployment. Note: if it's still based on</w:t>
      </w:r>
      <w:r>
        <w:rPr>
          <w:rFonts w:eastAsia="微软雅黑"/>
          <w:sz w:val="20"/>
          <w:lang w:val="en-GB"/>
        </w:rPr>
        <w:t xml:space="preserve"> far-field DFT precodin</w:t>
      </w:r>
      <w:r>
        <w:rPr>
          <w:rFonts w:eastAsia="微软雅黑"/>
          <w:sz w:val="20"/>
          <w:lang w:val="en-GB"/>
        </w:rPr>
        <w:t xml:space="preserve">g design (e.g., 5G/5G-A CSI codebook), it can be observed that there is an obvious performance loss, due to use of second-order distance approximation when performing comprehensive evaluation on near-field scenarios. </w:t>
      </w:r>
    </w:p>
    <w:p w14:paraId="2F9F4D56" w14:textId="77777777" w:rsidR="00C41F5F" w:rsidRDefault="00832B23">
      <w:pPr>
        <w:pStyle w:val="af9"/>
        <w:numPr>
          <w:ilvl w:val="0"/>
          <w:numId w:val="31"/>
        </w:numPr>
        <w:adjustRightInd w:val="0"/>
        <w:snapToGrid w:val="0"/>
        <w:spacing w:beforeLines="30" w:before="72" w:afterLines="30" w:after="72" w:line="288" w:lineRule="auto"/>
        <w:rPr>
          <w:rFonts w:eastAsia="微软雅黑"/>
          <w:sz w:val="20"/>
          <w:szCs w:val="20"/>
          <w:lang w:val="en-GB"/>
        </w:rPr>
      </w:pPr>
      <w:r>
        <w:rPr>
          <w:rFonts w:eastAsia="微软雅黑"/>
          <w:b/>
          <w:sz w:val="20"/>
          <w:szCs w:val="20"/>
          <w:lang w:val="en-GB"/>
        </w:rPr>
        <w:t>Scheme-5 Distributed/</w:t>
      </w:r>
      <w:r>
        <w:rPr>
          <w:rFonts w:eastAsia="微软雅黑"/>
          <w:b/>
          <w:sz w:val="20"/>
          <w:szCs w:val="20"/>
        </w:rPr>
        <w:t>localized deploym</w:t>
      </w:r>
      <w:r>
        <w:rPr>
          <w:rFonts w:eastAsia="微软雅黑"/>
          <w:b/>
          <w:sz w:val="20"/>
          <w:szCs w:val="20"/>
        </w:rPr>
        <w:t>ent</w:t>
      </w:r>
      <w:r>
        <w:rPr>
          <w:rFonts w:eastAsia="微软雅黑"/>
          <w:b/>
          <w:sz w:val="20"/>
          <w:szCs w:val="20"/>
          <w:lang w:val="en-GB"/>
        </w:rPr>
        <w:t xml:space="preserve"> including RIS:</w:t>
      </w:r>
      <w:r>
        <w:rPr>
          <w:rFonts w:eastAsia="微软雅黑"/>
          <w:sz w:val="20"/>
          <w:szCs w:val="20"/>
          <w:lang w:val="en-GB"/>
        </w:rPr>
        <w:t xml:space="preserve"> Scheme-5 aims to explore energy/cost-efficient (low power and low complexity) distributed and localized MIMO deployment. As an advanced technique, RIS mainly contributes to improving data rate (i.e., by increasing #. layer &amp; RSRP, and re</w:t>
      </w:r>
      <w:r>
        <w:rPr>
          <w:rFonts w:eastAsia="微软雅黑"/>
          <w:sz w:val="20"/>
          <w:szCs w:val="20"/>
          <w:lang w:val="en-GB"/>
        </w:rPr>
        <w:t>ducing the probability of being blocked or NLOS transmission) and handling weak DL/UL coverage/blind spot for commercial deployment with low deployment and subsequent operation costs (via energy saving), compared with legacy large-scale-distributed MIMO, i</w:t>
      </w:r>
      <w:r>
        <w:rPr>
          <w:rFonts w:eastAsia="微软雅黑"/>
          <w:sz w:val="20"/>
          <w:szCs w:val="20"/>
          <w:lang w:val="en-GB"/>
        </w:rPr>
        <w:t xml:space="preserve">.e., deploying extra TRP(s) with the supply of power and </w:t>
      </w:r>
      <w:r>
        <w:rPr>
          <w:rFonts w:eastAsia="微软雅黑" w:hint="eastAsia"/>
          <w:sz w:val="20"/>
          <w:szCs w:val="20"/>
          <w:lang w:val="en-GB"/>
        </w:rPr>
        <w:t>w</w:t>
      </w:r>
      <w:r>
        <w:rPr>
          <w:rFonts w:eastAsia="微软雅黑"/>
          <w:sz w:val="20"/>
          <w:szCs w:val="20"/>
          <w:lang w:val="en-GB"/>
        </w:rPr>
        <w:t>ire-fronthaul (e.g., fiber) under a given area.</w:t>
      </w:r>
    </w:p>
    <w:p w14:paraId="0D669D82" w14:textId="77777777" w:rsidR="00C41F5F" w:rsidRDefault="00832B23">
      <w:pPr>
        <w:tabs>
          <w:tab w:val="left" w:pos="360"/>
          <w:tab w:val="left" w:pos="720"/>
        </w:tabs>
        <w:spacing w:before="120" w:after="120" w:line="240" w:lineRule="auto"/>
        <w:rPr>
          <w:sz w:val="20"/>
        </w:rPr>
      </w:pPr>
      <w:r>
        <w:rPr>
          <w:sz w:val="20"/>
        </w:rPr>
        <w:t xml:space="preserve">Additionally, other solutions (e.g., modulation schemes, channel </w:t>
      </w:r>
      <w:r>
        <w:rPr>
          <w:rFonts w:hint="eastAsia"/>
          <w:sz w:val="20"/>
        </w:rPr>
        <w:t>coding</w:t>
      </w:r>
      <w:r>
        <w:rPr>
          <w:sz w:val="20"/>
        </w:rPr>
        <w:t xml:space="preserve"> enhancements and AI based enhancements, etc.) are also beneficial to improve spectrum </w:t>
      </w:r>
      <w:r>
        <w:rPr>
          <w:rFonts w:hint="eastAsia"/>
          <w:sz w:val="20"/>
        </w:rPr>
        <w:t>efficiency</w:t>
      </w:r>
      <w:r>
        <w:rPr>
          <w:sz w:val="20"/>
        </w:rPr>
        <w:t xml:space="preserve">. Similarly, the corresponding study should be considered for 6GR with </w:t>
      </w:r>
      <w:r>
        <w:rPr>
          <w:sz w:val="20"/>
        </w:rPr>
        <w:lastRenderedPageBreak/>
        <w:t xml:space="preserve">more detailed approaches listed in </w:t>
      </w:r>
      <w:r>
        <w:rPr>
          <w:sz w:val="20"/>
        </w:rPr>
        <w:fldChar w:fldCharType="begin"/>
      </w:r>
      <w:r>
        <w:rPr>
          <w:sz w:val="20"/>
        </w:rPr>
        <w:instrText xml:space="preserve"> REF _Ref206055284 \r \h </w:instrText>
      </w:r>
      <w:r>
        <w:rPr>
          <w:sz w:val="20"/>
        </w:rPr>
      </w:r>
      <w:r>
        <w:rPr>
          <w:sz w:val="20"/>
        </w:rPr>
        <w:fldChar w:fldCharType="separate"/>
      </w:r>
      <w:r>
        <w:rPr>
          <w:sz w:val="20"/>
        </w:rPr>
        <w:t>[9]</w:t>
      </w:r>
      <w:r>
        <w:rPr>
          <w:sz w:val="20"/>
        </w:rPr>
        <w:fldChar w:fldCharType="end"/>
      </w:r>
      <w:r>
        <w:rPr>
          <w:sz w:val="20"/>
        </w:rPr>
        <w:fldChar w:fldCharType="begin"/>
      </w:r>
      <w:r>
        <w:rPr>
          <w:sz w:val="20"/>
        </w:rPr>
        <w:instrText xml:space="preserve"> REF _Ref206055352 \r \h </w:instrText>
      </w:r>
      <w:r>
        <w:rPr>
          <w:sz w:val="20"/>
        </w:rPr>
      </w:r>
      <w:r>
        <w:rPr>
          <w:sz w:val="20"/>
        </w:rPr>
        <w:fldChar w:fldCharType="separate"/>
      </w:r>
      <w:r>
        <w:rPr>
          <w:sz w:val="20"/>
        </w:rPr>
        <w:t>[10]</w:t>
      </w:r>
      <w:r>
        <w:rPr>
          <w:sz w:val="20"/>
        </w:rPr>
        <w:fldChar w:fldCharType="end"/>
      </w:r>
      <w:r>
        <w:rPr>
          <w:sz w:val="20"/>
        </w:rPr>
        <w:fldChar w:fldCharType="begin"/>
      </w:r>
      <w:r>
        <w:rPr>
          <w:sz w:val="20"/>
        </w:rPr>
        <w:instrText xml:space="preserve"> REF _Ref206166642 \r \h </w:instrText>
      </w:r>
      <w:r>
        <w:rPr>
          <w:sz w:val="20"/>
        </w:rPr>
      </w:r>
      <w:r>
        <w:rPr>
          <w:sz w:val="20"/>
        </w:rPr>
        <w:fldChar w:fldCharType="separate"/>
      </w:r>
      <w:r>
        <w:rPr>
          <w:sz w:val="20"/>
        </w:rPr>
        <w:t>[13]</w:t>
      </w:r>
      <w:r>
        <w:rPr>
          <w:sz w:val="20"/>
        </w:rPr>
        <w:fldChar w:fldCharType="end"/>
      </w:r>
      <w:r>
        <w:rPr>
          <w:sz w:val="20"/>
        </w:rPr>
        <w:t xml:space="preserve">. For improvements on </w:t>
      </w:r>
      <w:r>
        <w:rPr>
          <w:sz w:val="20"/>
        </w:rPr>
        <w:t>cell-edge spectrum efficiency, it has been discussed in Section 2.</w:t>
      </w:r>
    </w:p>
    <w:p w14:paraId="34B53FB8" w14:textId="77777777" w:rsidR="00C41F5F" w:rsidRDefault="00832B23">
      <w:pPr>
        <w:spacing w:before="120" w:after="120"/>
        <w:rPr>
          <w:rFonts w:eastAsia="微软雅黑"/>
          <w:i/>
          <w:sz w:val="20"/>
          <w:lang w:val="en-GB"/>
        </w:rPr>
      </w:pPr>
      <w:r>
        <w:rPr>
          <w:rFonts w:eastAsia="微软雅黑"/>
          <w:b/>
          <w:i/>
          <w:sz w:val="20"/>
          <w:lang w:val="en-GB"/>
        </w:rPr>
        <w:t xml:space="preserve">Proposal 10-2-1: </w:t>
      </w:r>
      <w:r>
        <w:rPr>
          <w:rFonts w:eastAsia="微软雅黑"/>
          <w:i/>
          <w:sz w:val="20"/>
          <w:lang w:val="en-GB"/>
        </w:rPr>
        <w:t>For 6GR, the following advanced technical schemes for multi-antenna operation on spectrum efficiency should be considered in 6G Day-1.</w:t>
      </w:r>
    </w:p>
    <w:p w14:paraId="285A583A" w14:textId="7F785508" w:rsidR="00C41F5F" w:rsidRDefault="00832B23">
      <w:pPr>
        <w:numPr>
          <w:ilvl w:val="0"/>
          <w:numId w:val="20"/>
        </w:numPr>
        <w:snapToGrid w:val="0"/>
        <w:spacing w:before="120" w:after="120" w:line="240" w:lineRule="auto"/>
        <w:rPr>
          <w:i/>
          <w:sz w:val="20"/>
        </w:rPr>
      </w:pPr>
      <w:r>
        <w:rPr>
          <w:i/>
          <w:sz w:val="20"/>
        </w:rPr>
        <w:t xml:space="preserve">Scheme-1 Ultra-massive MIMO </w:t>
      </w:r>
      <w:r>
        <w:rPr>
          <w:i/>
          <w:sz w:val="20"/>
        </w:rPr>
        <w:t>(involving both gNB and UE)</w:t>
      </w:r>
    </w:p>
    <w:p w14:paraId="2CF76F81" w14:textId="466320C5" w:rsidR="00C41F5F" w:rsidRDefault="00832B23">
      <w:pPr>
        <w:numPr>
          <w:ilvl w:val="0"/>
          <w:numId w:val="20"/>
        </w:numPr>
        <w:snapToGrid w:val="0"/>
        <w:spacing w:before="120" w:after="120" w:line="240" w:lineRule="auto"/>
        <w:rPr>
          <w:i/>
          <w:sz w:val="20"/>
        </w:rPr>
      </w:pPr>
      <w:r>
        <w:rPr>
          <w:i/>
          <w:sz w:val="20"/>
        </w:rPr>
        <w:t>Scheme-2 Coherent joint transmission</w:t>
      </w:r>
    </w:p>
    <w:p w14:paraId="2B7D77D0" w14:textId="63ED11FC" w:rsidR="00C41F5F" w:rsidRDefault="00832B23">
      <w:pPr>
        <w:numPr>
          <w:ilvl w:val="0"/>
          <w:numId w:val="20"/>
        </w:numPr>
        <w:snapToGrid w:val="0"/>
        <w:spacing w:before="120" w:after="120" w:line="240" w:lineRule="auto"/>
        <w:rPr>
          <w:i/>
          <w:sz w:val="20"/>
        </w:rPr>
      </w:pPr>
      <w:r>
        <w:rPr>
          <w:i/>
          <w:sz w:val="20"/>
        </w:rPr>
        <w:t>Scheme-3 UE-perceived cell-free operation starting from T0</w:t>
      </w:r>
    </w:p>
    <w:p w14:paraId="076A3923" w14:textId="18D7EA62" w:rsidR="00C41F5F" w:rsidRDefault="00832B23">
      <w:pPr>
        <w:numPr>
          <w:ilvl w:val="0"/>
          <w:numId w:val="20"/>
        </w:numPr>
        <w:snapToGrid w:val="0"/>
        <w:spacing w:before="120" w:after="120" w:line="240" w:lineRule="auto"/>
        <w:rPr>
          <w:i/>
          <w:sz w:val="20"/>
        </w:rPr>
      </w:pPr>
      <w:r>
        <w:rPr>
          <w:i/>
          <w:sz w:val="20"/>
        </w:rPr>
        <w:t>Scheme-4 Near field communications</w:t>
      </w:r>
    </w:p>
    <w:p w14:paraId="111EADA3" w14:textId="2E47726A" w:rsidR="00C41F5F" w:rsidRDefault="00832B23">
      <w:pPr>
        <w:numPr>
          <w:ilvl w:val="0"/>
          <w:numId w:val="20"/>
        </w:numPr>
        <w:snapToGrid w:val="0"/>
        <w:spacing w:before="120" w:after="120" w:line="240" w:lineRule="auto"/>
        <w:rPr>
          <w:i/>
          <w:sz w:val="20"/>
        </w:rPr>
      </w:pPr>
      <w:r>
        <w:rPr>
          <w:i/>
          <w:sz w:val="20"/>
        </w:rPr>
        <w:t>Scheme-5 RIS (distributed/localized deployment)</w:t>
      </w:r>
    </w:p>
    <w:p w14:paraId="268B91F2" w14:textId="34AEBC11" w:rsidR="00C41F5F" w:rsidRDefault="00832B23">
      <w:pPr>
        <w:spacing w:before="120" w:after="120"/>
        <w:rPr>
          <w:rFonts w:eastAsia="微软雅黑"/>
          <w:sz w:val="20"/>
          <w:lang w:val="en-GB"/>
        </w:rPr>
      </w:pPr>
      <w:r>
        <w:rPr>
          <w:rFonts w:eastAsia="微软雅黑"/>
          <w:sz w:val="20"/>
          <w:lang w:val="en-GB"/>
        </w:rPr>
        <w:t xml:space="preserve">Regarding the </w:t>
      </w:r>
      <w:r>
        <w:rPr>
          <w:rFonts w:eastAsia="微软雅黑"/>
          <w:sz w:val="20"/>
          <w:lang w:val="en-GB"/>
        </w:rPr>
        <w:t xml:space="preserve">6GR agenda on MIMO operation starting from RAN1#124 </w:t>
      </w:r>
      <w:r>
        <w:rPr>
          <w:rFonts w:eastAsia="微软雅黑"/>
          <w:sz w:val="20"/>
          <w:lang w:val="en-GB"/>
        </w:rPr>
        <w:t xml:space="preserve">in </w:t>
      </w:r>
      <w:r>
        <w:rPr>
          <w:rFonts w:eastAsia="微软雅黑"/>
          <w:sz w:val="20"/>
          <w:lang w:val="en-GB"/>
        </w:rPr>
        <w:t>February, 2026, we have the following suggested agenda for subsequent discussion</w:t>
      </w:r>
      <w:r>
        <w:rPr>
          <w:rFonts w:eastAsia="微软雅黑"/>
          <w:sz w:val="20"/>
          <w:lang w:val="en-GB"/>
        </w:rPr>
        <w:t>:</w:t>
      </w:r>
      <w:r>
        <w:rPr>
          <w:rFonts w:eastAsia="微软雅黑"/>
          <w:sz w:val="20"/>
          <w:lang w:val="en-GB"/>
        </w:rPr>
        <w:t xml:space="preserve"> i</w:t>
      </w:r>
      <w:r>
        <w:rPr>
          <w:rFonts w:eastAsia="微软雅黑"/>
          <w:sz w:val="20"/>
          <w:lang w:val="en-GB"/>
        </w:rPr>
        <w:t xml:space="preserve">n RAN1#124, we can start with the high-level </w:t>
      </w:r>
      <w:r>
        <w:rPr>
          <w:rFonts w:eastAsia="微软雅黑"/>
          <w:sz w:val="20"/>
          <w:lang w:val="en-GB"/>
        </w:rPr>
        <w:t>aspec</w:t>
      </w:r>
      <w:r>
        <w:rPr>
          <w:rFonts w:eastAsia="微软雅黑"/>
          <w:sz w:val="20"/>
          <w:lang w:val="en-GB"/>
        </w:rPr>
        <w:t>ts</w:t>
      </w:r>
      <w:r>
        <w:rPr>
          <w:rFonts w:eastAsia="微软雅黑"/>
          <w:sz w:val="20"/>
          <w:lang w:val="en-GB"/>
        </w:rPr>
        <w:t xml:space="preserve"> on the four </w:t>
      </w:r>
      <w:r>
        <w:rPr>
          <w:rFonts w:eastAsia="微软雅黑"/>
          <w:sz w:val="20"/>
          <w:lang w:val="en-GB"/>
        </w:rPr>
        <w:t xml:space="preserve">main </w:t>
      </w:r>
      <w:r>
        <w:rPr>
          <w:rFonts w:eastAsia="微软雅黑"/>
          <w:sz w:val="20"/>
          <w:lang w:val="en-GB"/>
        </w:rPr>
        <w:t>bul</w:t>
      </w:r>
      <w:r>
        <w:rPr>
          <w:rFonts w:eastAsia="微软雅黑"/>
          <w:sz w:val="20"/>
          <w:lang w:val="en-GB"/>
        </w:rPr>
        <w:t>let points first</w:t>
      </w:r>
      <w:r>
        <w:rPr>
          <w:rFonts w:eastAsia="微软雅黑"/>
          <w:sz w:val="20"/>
          <w:lang w:val="en-GB"/>
        </w:rPr>
        <w:t>; af</w:t>
      </w:r>
      <w:r>
        <w:rPr>
          <w:rFonts w:eastAsia="微软雅黑"/>
          <w:sz w:val="20"/>
          <w:lang w:val="en-GB"/>
        </w:rPr>
        <w:t xml:space="preserve">ter identifying the key discussion points in several meetings, </w:t>
      </w:r>
      <w:r>
        <w:rPr>
          <w:rFonts w:eastAsia="微软雅黑"/>
          <w:sz w:val="20"/>
          <w:lang w:val="en-GB"/>
        </w:rPr>
        <w:t>we can</w:t>
      </w:r>
      <w:r>
        <w:rPr>
          <w:rFonts w:eastAsia="微软雅黑"/>
          <w:sz w:val="20"/>
          <w:lang w:val="en-GB"/>
        </w:rPr>
        <w:t xml:space="preserve"> consider to</w:t>
      </w:r>
      <w:r>
        <w:rPr>
          <w:rFonts w:eastAsia="微软雅黑"/>
          <w:sz w:val="20"/>
          <w:lang w:val="en-GB"/>
        </w:rPr>
        <w:t xml:space="preserve"> split </w:t>
      </w:r>
      <w:r>
        <w:rPr>
          <w:rFonts w:eastAsia="微软雅黑"/>
          <w:sz w:val="20"/>
          <w:lang w:val="en-GB"/>
        </w:rPr>
        <w:t>each of these four aspects</w:t>
      </w:r>
      <w:r>
        <w:rPr>
          <w:rFonts w:eastAsia="微软雅黑"/>
          <w:sz w:val="20"/>
          <w:lang w:val="en-GB"/>
        </w:rPr>
        <w:t xml:space="preserve"> </w:t>
      </w:r>
      <w:r>
        <w:rPr>
          <w:rFonts w:eastAsia="微软雅黑"/>
          <w:sz w:val="20"/>
          <w:lang w:val="en-GB"/>
        </w:rPr>
        <w:t>in</w:t>
      </w:r>
      <w:r>
        <w:rPr>
          <w:rFonts w:eastAsia="微软雅黑"/>
          <w:sz w:val="20"/>
          <w:lang w:val="en-GB"/>
        </w:rPr>
        <w:t xml:space="preserve">to sub-agenda items </w:t>
      </w:r>
      <w:r>
        <w:rPr>
          <w:rFonts w:eastAsia="微软雅黑"/>
          <w:sz w:val="20"/>
          <w:lang w:val="en-GB"/>
        </w:rPr>
        <w:t>based on the sub-bull</w:t>
      </w:r>
      <w:r>
        <w:rPr>
          <w:rFonts w:eastAsia="微软雅黑"/>
          <w:sz w:val="20"/>
          <w:lang w:val="en-GB"/>
        </w:rPr>
        <w:t>et points</w:t>
      </w:r>
      <w:r>
        <w:rPr>
          <w:rFonts w:eastAsia="微软雅黑"/>
          <w:sz w:val="20"/>
          <w:lang w:val="en-GB"/>
        </w:rPr>
        <w:t>.</w:t>
      </w:r>
      <w:r>
        <w:rPr>
          <w:rFonts w:eastAsia="微软雅黑"/>
          <w:sz w:val="20"/>
          <w:lang w:val="en-GB"/>
        </w:rPr>
        <w:t xml:space="preserve">  </w:t>
      </w:r>
    </w:p>
    <w:p w14:paraId="202D3353" w14:textId="77777777" w:rsidR="00C41F5F" w:rsidRDefault="00832B23">
      <w:pPr>
        <w:pStyle w:val="af9"/>
        <w:numPr>
          <w:ilvl w:val="0"/>
          <w:numId w:val="32"/>
        </w:numPr>
        <w:spacing w:before="120" w:after="120"/>
        <w:rPr>
          <w:rFonts w:eastAsia="微软雅黑"/>
          <w:sz w:val="20"/>
        </w:rPr>
      </w:pPr>
      <w:r>
        <w:rPr>
          <w:rFonts w:eastAsia="微软雅黑"/>
          <w:bCs/>
          <w:sz w:val="20"/>
        </w:rPr>
        <w:t>Multi-antenna scheme</w:t>
      </w:r>
    </w:p>
    <w:p w14:paraId="0116B951" w14:textId="77777777" w:rsidR="00C41F5F" w:rsidRDefault="00832B23">
      <w:pPr>
        <w:pStyle w:val="af9"/>
        <w:numPr>
          <w:ilvl w:val="1"/>
          <w:numId w:val="32"/>
        </w:numPr>
        <w:spacing w:before="120" w:after="120"/>
        <w:rPr>
          <w:rFonts w:eastAsia="微软雅黑"/>
          <w:sz w:val="20"/>
        </w:rPr>
      </w:pPr>
      <w:r>
        <w:rPr>
          <w:rFonts w:eastAsia="微软雅黑"/>
          <w:bCs/>
          <w:sz w:val="20"/>
        </w:rPr>
        <w:t xml:space="preserve">General scheme for both DL and UL </w:t>
      </w:r>
    </w:p>
    <w:p w14:paraId="5FD01AD0" w14:textId="77777777" w:rsidR="00C41F5F" w:rsidRDefault="00832B23">
      <w:pPr>
        <w:pStyle w:val="af9"/>
        <w:numPr>
          <w:ilvl w:val="1"/>
          <w:numId w:val="32"/>
        </w:numPr>
        <w:spacing w:before="120" w:after="120"/>
        <w:rPr>
          <w:rFonts w:eastAsia="微软雅黑"/>
          <w:bCs/>
          <w:sz w:val="20"/>
        </w:rPr>
      </w:pPr>
      <w:r>
        <w:rPr>
          <w:rFonts w:eastAsia="微软雅黑"/>
          <w:bCs/>
          <w:sz w:val="20"/>
        </w:rPr>
        <w:t>DL transmission scheme</w:t>
      </w:r>
    </w:p>
    <w:p w14:paraId="4DA174DB" w14:textId="77777777" w:rsidR="00C41F5F" w:rsidRDefault="00832B23">
      <w:pPr>
        <w:pStyle w:val="af9"/>
        <w:numPr>
          <w:ilvl w:val="1"/>
          <w:numId w:val="32"/>
        </w:numPr>
        <w:spacing w:before="120" w:after="120"/>
        <w:rPr>
          <w:rFonts w:eastAsia="微软雅黑"/>
          <w:sz w:val="20"/>
        </w:rPr>
      </w:pPr>
      <w:r>
        <w:rPr>
          <w:rFonts w:eastAsia="微软雅黑"/>
          <w:bCs/>
          <w:sz w:val="20"/>
        </w:rPr>
        <w:t xml:space="preserve">UL transmission scheme </w:t>
      </w:r>
    </w:p>
    <w:p w14:paraId="460CCBF3" w14:textId="77777777" w:rsidR="00C41F5F" w:rsidRDefault="00832B23">
      <w:pPr>
        <w:pStyle w:val="af9"/>
        <w:numPr>
          <w:ilvl w:val="1"/>
          <w:numId w:val="32"/>
        </w:numPr>
        <w:spacing w:before="120" w:after="120"/>
        <w:rPr>
          <w:rFonts w:eastAsia="微软雅黑"/>
          <w:sz w:val="20"/>
        </w:rPr>
      </w:pPr>
      <w:r>
        <w:rPr>
          <w:rFonts w:eastAsia="微软雅黑"/>
          <w:bCs/>
          <w:sz w:val="20"/>
        </w:rPr>
        <w:t xml:space="preserve">DL/UL PRB bundling (PRG) </w:t>
      </w:r>
    </w:p>
    <w:p w14:paraId="73F913AC" w14:textId="77777777" w:rsidR="00C41F5F" w:rsidRDefault="00832B23">
      <w:pPr>
        <w:pStyle w:val="af9"/>
        <w:numPr>
          <w:ilvl w:val="0"/>
          <w:numId w:val="32"/>
        </w:numPr>
        <w:spacing w:before="120" w:after="120"/>
        <w:rPr>
          <w:rFonts w:eastAsia="微软雅黑"/>
          <w:bCs/>
          <w:sz w:val="20"/>
        </w:rPr>
      </w:pPr>
      <w:r>
        <w:rPr>
          <w:rFonts w:eastAsia="微软雅黑"/>
          <w:bCs/>
          <w:sz w:val="20"/>
        </w:rPr>
        <w:t>CSI acquisition</w:t>
      </w:r>
    </w:p>
    <w:p w14:paraId="3574AAFE" w14:textId="77777777" w:rsidR="00C41F5F" w:rsidRDefault="00832B23">
      <w:pPr>
        <w:pStyle w:val="af9"/>
        <w:numPr>
          <w:ilvl w:val="1"/>
          <w:numId w:val="32"/>
        </w:numPr>
        <w:spacing w:before="120" w:after="120"/>
        <w:rPr>
          <w:rFonts w:eastAsia="微软雅黑"/>
          <w:bCs/>
          <w:sz w:val="20"/>
        </w:rPr>
      </w:pPr>
      <w:r>
        <w:rPr>
          <w:rFonts w:eastAsia="微软雅黑"/>
          <w:bCs/>
          <w:sz w:val="20"/>
        </w:rPr>
        <w:t>CSI measurement</w:t>
      </w:r>
    </w:p>
    <w:p w14:paraId="57D08F57" w14:textId="77777777" w:rsidR="00C41F5F" w:rsidRDefault="00832B23">
      <w:pPr>
        <w:pStyle w:val="af9"/>
        <w:numPr>
          <w:ilvl w:val="1"/>
          <w:numId w:val="32"/>
        </w:numPr>
        <w:spacing w:before="120" w:after="120"/>
        <w:rPr>
          <w:rFonts w:eastAsia="微软雅黑"/>
          <w:bCs/>
          <w:sz w:val="20"/>
        </w:rPr>
      </w:pPr>
      <w:r>
        <w:rPr>
          <w:rFonts w:eastAsia="微软雅黑"/>
          <w:bCs/>
          <w:sz w:val="20"/>
        </w:rPr>
        <w:t xml:space="preserve">CSI reporting </w:t>
      </w:r>
    </w:p>
    <w:p w14:paraId="7717D7DD" w14:textId="77777777" w:rsidR="00C41F5F" w:rsidRDefault="00832B23">
      <w:pPr>
        <w:pStyle w:val="af9"/>
        <w:numPr>
          <w:ilvl w:val="1"/>
          <w:numId w:val="32"/>
        </w:numPr>
        <w:spacing w:before="120" w:after="120"/>
        <w:rPr>
          <w:rFonts w:eastAsia="微软雅黑"/>
          <w:bCs/>
          <w:sz w:val="20"/>
        </w:rPr>
      </w:pPr>
      <w:r>
        <w:rPr>
          <w:rFonts w:eastAsia="微软雅黑"/>
          <w:bCs/>
          <w:sz w:val="20"/>
        </w:rPr>
        <w:t>CSI codebook/format</w:t>
      </w:r>
    </w:p>
    <w:p w14:paraId="68C142A0" w14:textId="77777777" w:rsidR="00C41F5F" w:rsidRDefault="00832B23">
      <w:pPr>
        <w:pStyle w:val="af9"/>
        <w:numPr>
          <w:ilvl w:val="0"/>
          <w:numId w:val="32"/>
        </w:numPr>
        <w:spacing w:before="120" w:after="120"/>
        <w:rPr>
          <w:rFonts w:eastAsia="微软雅黑"/>
          <w:bCs/>
          <w:sz w:val="20"/>
        </w:rPr>
      </w:pPr>
      <w:r>
        <w:rPr>
          <w:rFonts w:eastAsia="微软雅黑"/>
          <w:bCs/>
          <w:sz w:val="20"/>
        </w:rPr>
        <w:t>Beam management</w:t>
      </w:r>
    </w:p>
    <w:p w14:paraId="5925F261" w14:textId="77777777" w:rsidR="00C41F5F" w:rsidRDefault="00832B23">
      <w:pPr>
        <w:pStyle w:val="af9"/>
        <w:numPr>
          <w:ilvl w:val="1"/>
          <w:numId w:val="32"/>
        </w:numPr>
        <w:spacing w:before="120" w:after="120"/>
        <w:rPr>
          <w:rFonts w:eastAsia="微软雅黑"/>
          <w:bCs/>
          <w:sz w:val="20"/>
        </w:rPr>
      </w:pPr>
      <w:r>
        <w:rPr>
          <w:rFonts w:eastAsia="微软雅黑"/>
          <w:bCs/>
          <w:sz w:val="20"/>
        </w:rPr>
        <w:t xml:space="preserve">Beam measurement, reporting and indication </w:t>
      </w:r>
    </w:p>
    <w:p w14:paraId="1FD04F8D" w14:textId="77777777" w:rsidR="00C41F5F" w:rsidRDefault="00832B23">
      <w:pPr>
        <w:pStyle w:val="af9"/>
        <w:numPr>
          <w:ilvl w:val="1"/>
          <w:numId w:val="32"/>
        </w:numPr>
        <w:spacing w:before="120" w:after="120"/>
        <w:rPr>
          <w:rFonts w:eastAsia="微软雅黑"/>
          <w:bCs/>
          <w:sz w:val="20"/>
        </w:rPr>
      </w:pPr>
      <w:r>
        <w:rPr>
          <w:rFonts w:eastAsia="微软雅黑"/>
          <w:bCs/>
          <w:sz w:val="20"/>
        </w:rPr>
        <w:t xml:space="preserve">UE initiated beam report/recovery/switching </w:t>
      </w:r>
    </w:p>
    <w:p w14:paraId="1588A5AC" w14:textId="77777777" w:rsidR="00C41F5F" w:rsidRDefault="00832B23">
      <w:pPr>
        <w:pStyle w:val="af9"/>
        <w:numPr>
          <w:ilvl w:val="0"/>
          <w:numId w:val="32"/>
        </w:numPr>
        <w:spacing w:before="120" w:after="120"/>
        <w:rPr>
          <w:rFonts w:eastAsia="微软雅黑"/>
          <w:bCs/>
          <w:sz w:val="20"/>
        </w:rPr>
      </w:pPr>
      <w:r>
        <w:rPr>
          <w:rFonts w:eastAsia="微软雅黑"/>
          <w:bCs/>
          <w:sz w:val="20"/>
        </w:rPr>
        <w:t>Reference signals and QCL</w:t>
      </w:r>
    </w:p>
    <w:p w14:paraId="36487BF8" w14:textId="77777777" w:rsidR="00C41F5F" w:rsidRDefault="00832B23">
      <w:pPr>
        <w:pStyle w:val="af9"/>
        <w:numPr>
          <w:ilvl w:val="1"/>
          <w:numId w:val="32"/>
        </w:numPr>
        <w:spacing w:before="120" w:after="120"/>
        <w:rPr>
          <w:rFonts w:eastAsia="微软雅黑"/>
          <w:bCs/>
          <w:sz w:val="20"/>
        </w:rPr>
      </w:pPr>
      <w:r>
        <w:rPr>
          <w:rFonts w:eastAsia="微软雅黑"/>
          <w:bCs/>
          <w:sz w:val="20"/>
        </w:rPr>
        <w:t>Multiplexing of different types of RSs</w:t>
      </w:r>
    </w:p>
    <w:p w14:paraId="15C8B3AF" w14:textId="77777777" w:rsidR="00C41F5F" w:rsidRDefault="00832B23">
      <w:pPr>
        <w:pStyle w:val="af9"/>
        <w:numPr>
          <w:ilvl w:val="1"/>
          <w:numId w:val="32"/>
        </w:numPr>
        <w:spacing w:before="120" w:after="120"/>
        <w:rPr>
          <w:rFonts w:eastAsia="微软雅黑"/>
          <w:bCs/>
          <w:sz w:val="20"/>
        </w:rPr>
      </w:pPr>
      <w:r>
        <w:rPr>
          <w:rFonts w:eastAsia="微软雅黑"/>
          <w:bCs/>
          <w:sz w:val="20"/>
        </w:rPr>
        <w:t>CSI-RS</w:t>
      </w:r>
    </w:p>
    <w:p w14:paraId="4FA20B34" w14:textId="77777777" w:rsidR="00C41F5F" w:rsidRDefault="00832B23">
      <w:pPr>
        <w:pStyle w:val="af9"/>
        <w:numPr>
          <w:ilvl w:val="1"/>
          <w:numId w:val="32"/>
        </w:numPr>
        <w:spacing w:before="120" w:after="120"/>
        <w:rPr>
          <w:rFonts w:eastAsia="微软雅黑"/>
          <w:bCs/>
          <w:sz w:val="20"/>
        </w:rPr>
      </w:pPr>
      <w:r>
        <w:rPr>
          <w:rFonts w:eastAsia="微软雅黑"/>
          <w:bCs/>
          <w:sz w:val="20"/>
        </w:rPr>
        <w:t>DMRS</w:t>
      </w:r>
    </w:p>
    <w:p w14:paraId="1694A070" w14:textId="77777777" w:rsidR="00C41F5F" w:rsidRDefault="00832B23">
      <w:pPr>
        <w:pStyle w:val="af9"/>
        <w:numPr>
          <w:ilvl w:val="1"/>
          <w:numId w:val="32"/>
        </w:numPr>
        <w:spacing w:before="120" w:after="120"/>
        <w:rPr>
          <w:rFonts w:eastAsia="微软雅黑"/>
          <w:bCs/>
          <w:sz w:val="20"/>
        </w:rPr>
      </w:pPr>
      <w:r>
        <w:rPr>
          <w:rFonts w:eastAsia="微软雅黑"/>
          <w:bCs/>
          <w:sz w:val="20"/>
        </w:rPr>
        <w:t>PT-RS</w:t>
      </w:r>
    </w:p>
    <w:p w14:paraId="5EDB944B" w14:textId="77777777" w:rsidR="00C41F5F" w:rsidRDefault="00832B23">
      <w:pPr>
        <w:pStyle w:val="af9"/>
        <w:numPr>
          <w:ilvl w:val="1"/>
          <w:numId w:val="32"/>
        </w:numPr>
        <w:spacing w:before="120" w:after="120"/>
        <w:rPr>
          <w:rFonts w:eastAsia="微软雅黑"/>
          <w:bCs/>
          <w:sz w:val="20"/>
        </w:rPr>
      </w:pPr>
      <w:r>
        <w:rPr>
          <w:rFonts w:eastAsia="微软雅黑"/>
          <w:bCs/>
          <w:sz w:val="20"/>
        </w:rPr>
        <w:t xml:space="preserve">SRS </w:t>
      </w:r>
    </w:p>
    <w:p w14:paraId="28D4F683" w14:textId="77777777" w:rsidR="00C41F5F" w:rsidRDefault="00832B23">
      <w:pPr>
        <w:pStyle w:val="af9"/>
        <w:numPr>
          <w:ilvl w:val="1"/>
          <w:numId w:val="32"/>
        </w:numPr>
        <w:spacing w:before="120" w:after="120"/>
        <w:rPr>
          <w:rFonts w:eastAsia="微软雅黑"/>
          <w:bCs/>
          <w:sz w:val="20"/>
        </w:rPr>
      </w:pPr>
      <w:r>
        <w:rPr>
          <w:rFonts w:eastAsia="微软雅黑"/>
          <w:bCs/>
          <w:sz w:val="20"/>
        </w:rPr>
        <w:t>TRS</w:t>
      </w:r>
    </w:p>
    <w:p w14:paraId="0D01BD56" w14:textId="77777777" w:rsidR="00C41F5F" w:rsidRDefault="00832B23">
      <w:pPr>
        <w:pStyle w:val="af9"/>
        <w:numPr>
          <w:ilvl w:val="1"/>
          <w:numId w:val="32"/>
        </w:numPr>
        <w:spacing w:before="120" w:after="120"/>
        <w:rPr>
          <w:rFonts w:eastAsia="微软雅黑"/>
          <w:bCs/>
          <w:sz w:val="20"/>
        </w:rPr>
      </w:pPr>
      <w:r>
        <w:rPr>
          <w:rFonts w:eastAsia="微软雅黑"/>
          <w:bCs/>
          <w:sz w:val="20"/>
        </w:rPr>
        <w:t>QCL</w:t>
      </w:r>
      <w:r>
        <w:rPr>
          <w:rFonts w:eastAsia="微软雅黑"/>
          <w:i/>
          <w:iCs/>
          <w:sz w:val="20"/>
          <w:lang w:val="en-GB"/>
        </w:rPr>
        <w:t> </w:t>
      </w:r>
    </w:p>
    <w:p w14:paraId="16C93322" w14:textId="77777777" w:rsidR="00C41F5F" w:rsidRDefault="00832B23">
      <w:pPr>
        <w:pStyle w:val="af9"/>
        <w:numPr>
          <w:ilvl w:val="0"/>
          <w:numId w:val="32"/>
        </w:numPr>
        <w:spacing w:before="120" w:after="120"/>
        <w:rPr>
          <w:rFonts w:eastAsia="微软雅黑"/>
          <w:bCs/>
          <w:sz w:val="20"/>
        </w:rPr>
      </w:pPr>
      <w:r>
        <w:rPr>
          <w:rFonts w:eastAsia="微软雅黑"/>
          <w:bCs/>
          <w:sz w:val="20"/>
        </w:rPr>
        <w:t xml:space="preserve">Others, e.g., UL power control </w:t>
      </w:r>
    </w:p>
    <w:p w14:paraId="3FBB5D3E" w14:textId="77777777" w:rsidR="00C41F5F" w:rsidRDefault="00832B23">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Cs w:val="28"/>
        </w:rPr>
      </w:pPr>
      <w:r>
        <w:rPr>
          <w:rFonts w:ascii="Times New Roman" w:eastAsia="宋体" w:hAnsi="Times New Roman" w:hint="eastAsia"/>
          <w:b/>
          <w:bCs/>
          <w:szCs w:val="28"/>
        </w:rPr>
        <w:t>Control and HARQ/scheduling</w:t>
      </w:r>
    </w:p>
    <w:p w14:paraId="11F4EEB7" w14:textId="77777777" w:rsidR="00C41F5F" w:rsidRDefault="00832B23">
      <w:pPr>
        <w:pStyle w:val="3"/>
        <w:numPr>
          <w:ilvl w:val="2"/>
          <w:numId w:val="1"/>
        </w:numPr>
        <w:spacing w:beforeLines="0" w:afterLines="0" w:line="260" w:lineRule="auto"/>
        <w:rPr>
          <w:b/>
          <w:bCs/>
          <w:szCs w:val="24"/>
        </w:rPr>
      </w:pPr>
      <w:r>
        <w:rPr>
          <w:rFonts w:hint="eastAsia"/>
          <w:b/>
          <w:bCs/>
          <w:szCs w:val="24"/>
        </w:rPr>
        <w:t xml:space="preserve">Design </w:t>
      </w:r>
      <w:r>
        <w:rPr>
          <w:rFonts w:hint="eastAsia"/>
          <w:b/>
          <w:bCs/>
          <w:szCs w:val="24"/>
        </w:rPr>
        <w:t>target</w:t>
      </w:r>
    </w:p>
    <w:p w14:paraId="7C769820" w14:textId="77777777" w:rsidR="00C41F5F" w:rsidRDefault="00832B23">
      <w:pPr>
        <w:snapToGrid w:val="0"/>
        <w:spacing w:before="120" w:after="120" w:line="240" w:lineRule="auto"/>
        <w:rPr>
          <w:sz w:val="20"/>
        </w:rPr>
      </w:pPr>
      <w:r>
        <w:rPr>
          <w:rFonts w:hint="eastAsia"/>
          <w:sz w:val="20"/>
        </w:rPr>
        <w:t>In the existing NR PHY specifications, some designs are quite complicated which cause very high implementation cost or even rare</w:t>
      </w:r>
      <w:r>
        <w:rPr>
          <w:sz w:val="20"/>
        </w:rPr>
        <w:t>ly</w:t>
      </w:r>
      <w:r>
        <w:rPr>
          <w:rFonts w:hint="eastAsia"/>
          <w:sz w:val="20"/>
        </w:rPr>
        <w:t xml:space="preserve"> used in the real deployment. </w:t>
      </w:r>
      <w:r>
        <w:rPr>
          <w:sz w:val="20"/>
        </w:rPr>
        <w:t>S</w:t>
      </w:r>
      <w:r>
        <w:rPr>
          <w:rFonts w:hint="eastAsia"/>
          <w:sz w:val="20"/>
        </w:rPr>
        <w:t>ome pain points in NR are listed below:</w:t>
      </w:r>
    </w:p>
    <w:p w14:paraId="6CB705EC" w14:textId="77777777" w:rsidR="00C41F5F" w:rsidRDefault="00832B23">
      <w:pPr>
        <w:snapToGrid w:val="0"/>
        <w:spacing w:before="120" w:after="120" w:line="240" w:lineRule="auto"/>
        <w:rPr>
          <w:b/>
          <w:bCs/>
          <w:sz w:val="20"/>
          <w:u w:val="single"/>
        </w:rPr>
      </w:pPr>
      <w:r>
        <w:rPr>
          <w:rFonts w:hint="eastAsia"/>
          <w:b/>
          <w:bCs/>
          <w:sz w:val="20"/>
          <w:u w:val="single"/>
        </w:rPr>
        <w:t>DL control</w:t>
      </w:r>
    </w:p>
    <w:p w14:paraId="446B2A24" w14:textId="77777777" w:rsidR="00C41F5F" w:rsidRDefault="00832B23">
      <w:pPr>
        <w:pStyle w:val="af9"/>
        <w:numPr>
          <w:ilvl w:val="0"/>
          <w:numId w:val="23"/>
        </w:numPr>
        <w:snapToGrid w:val="0"/>
        <w:spacing w:beforeLines="50" w:before="120" w:after="120" w:line="240" w:lineRule="auto"/>
        <w:ind w:left="363" w:hanging="363"/>
        <w:rPr>
          <w:sz w:val="20"/>
          <w:szCs w:val="20"/>
        </w:rPr>
      </w:pPr>
      <w:r>
        <w:rPr>
          <w:sz w:val="20"/>
          <w:szCs w:val="20"/>
        </w:rPr>
        <w:t xml:space="preserve">Too many DCI formats: </w:t>
      </w:r>
      <w:r>
        <w:rPr>
          <w:rFonts w:eastAsia="宋体" w:hint="eastAsia"/>
          <w:sz w:val="20"/>
          <w:szCs w:val="20"/>
        </w:rPr>
        <w:t>Ten</w:t>
      </w:r>
      <w:r>
        <w:rPr>
          <w:sz w:val="20"/>
          <w:szCs w:val="20"/>
        </w:rPr>
        <w:t xml:space="preserve"> group common DCI formats are introduced from Rel-15 to Rel-18. Likewise, for unicast scheduling DCI, fallback DCI format</w:t>
      </w:r>
      <w:r>
        <w:rPr>
          <w:rFonts w:eastAsia="宋体" w:hint="eastAsia"/>
          <w:sz w:val="20"/>
          <w:szCs w:val="20"/>
        </w:rPr>
        <w:t>s</w:t>
      </w:r>
      <w:r>
        <w:rPr>
          <w:sz w:val="20"/>
          <w:szCs w:val="20"/>
        </w:rPr>
        <w:t xml:space="preserve"> 0_0/1_0 and non-fallback DCI format</w:t>
      </w:r>
      <w:r>
        <w:rPr>
          <w:rFonts w:eastAsia="宋体" w:hint="eastAsia"/>
          <w:sz w:val="20"/>
          <w:szCs w:val="20"/>
        </w:rPr>
        <w:t>s</w:t>
      </w:r>
      <w:r>
        <w:rPr>
          <w:sz w:val="20"/>
          <w:szCs w:val="20"/>
        </w:rPr>
        <w:t xml:space="preserve"> 0_1/1_1 are designed for PUSCH/PDSCH scheduling in Rel-15. While, DCI format</w:t>
      </w:r>
      <w:r>
        <w:rPr>
          <w:rFonts w:eastAsia="宋体" w:hint="eastAsia"/>
          <w:sz w:val="20"/>
          <w:szCs w:val="20"/>
        </w:rPr>
        <w:t>s</w:t>
      </w:r>
      <w:r>
        <w:rPr>
          <w:sz w:val="20"/>
          <w:szCs w:val="20"/>
        </w:rPr>
        <w:t xml:space="preserve"> 0_2/1_2 are introd</w:t>
      </w:r>
      <w:r>
        <w:rPr>
          <w:sz w:val="20"/>
          <w:szCs w:val="20"/>
        </w:rPr>
        <w:t>uced for URLLC and DCI format</w:t>
      </w:r>
      <w:r>
        <w:rPr>
          <w:rFonts w:eastAsia="宋体" w:hint="eastAsia"/>
          <w:sz w:val="20"/>
          <w:szCs w:val="20"/>
        </w:rPr>
        <w:t>s</w:t>
      </w:r>
      <w:r>
        <w:rPr>
          <w:sz w:val="20"/>
          <w:szCs w:val="20"/>
        </w:rPr>
        <w:t xml:space="preserve"> 0_3/1_3 are further introduced for multi-cell scheduling in the later releases. This evolution way not only causes</w:t>
      </w:r>
      <w:r>
        <w:rPr>
          <w:rFonts w:hint="eastAsia"/>
          <w:sz w:val="20"/>
          <w:szCs w:val="20"/>
        </w:rPr>
        <w:t xml:space="preserve"> </w:t>
      </w:r>
      <w:r>
        <w:rPr>
          <w:sz w:val="20"/>
          <w:szCs w:val="20"/>
        </w:rPr>
        <w:t>significant efforts when design each new DCI format, but also r</w:t>
      </w:r>
      <w:r>
        <w:rPr>
          <w:rFonts w:hint="eastAsia"/>
          <w:sz w:val="20"/>
          <w:szCs w:val="20"/>
        </w:rPr>
        <w:t>a</w:t>
      </w:r>
      <w:r>
        <w:rPr>
          <w:sz w:val="20"/>
          <w:szCs w:val="20"/>
        </w:rPr>
        <w:t xml:space="preserve">ises </w:t>
      </w:r>
      <w:r>
        <w:rPr>
          <w:rFonts w:hint="eastAsia"/>
          <w:sz w:val="20"/>
          <w:szCs w:val="20"/>
        </w:rPr>
        <w:t xml:space="preserve">forward compatibility issues. </w:t>
      </w:r>
      <w:r>
        <w:rPr>
          <w:sz w:val="20"/>
          <w:szCs w:val="20"/>
        </w:rPr>
        <w:t>For instanc</w:t>
      </w:r>
      <w:r>
        <w:rPr>
          <w:sz w:val="20"/>
          <w:szCs w:val="20"/>
        </w:rPr>
        <w:t xml:space="preserve">e, DCI </w:t>
      </w:r>
      <w:r>
        <w:rPr>
          <w:sz w:val="20"/>
          <w:szCs w:val="20"/>
        </w:rPr>
        <w:lastRenderedPageBreak/>
        <w:t xml:space="preserve">size alignment rules need to be updated when new unicast DCI formats </w:t>
      </w:r>
      <w:r>
        <w:rPr>
          <w:rFonts w:hint="eastAsia"/>
          <w:sz w:val="20"/>
          <w:szCs w:val="20"/>
        </w:rPr>
        <w:t xml:space="preserve">are </w:t>
      </w:r>
      <w:r>
        <w:rPr>
          <w:sz w:val="20"/>
          <w:szCs w:val="20"/>
        </w:rPr>
        <w:t>introduced.</w:t>
      </w:r>
      <w:r>
        <w:rPr>
          <w:rFonts w:hint="eastAsia"/>
          <w:sz w:val="20"/>
          <w:szCs w:val="20"/>
        </w:rPr>
        <w:t xml:space="preserve"> </w:t>
      </w:r>
      <w:r>
        <w:rPr>
          <w:rFonts w:eastAsia="宋体" w:hint="eastAsia"/>
          <w:sz w:val="20"/>
          <w:szCs w:val="20"/>
        </w:rPr>
        <w:t xml:space="preserve">in 6G day1, </w:t>
      </w:r>
      <w:r>
        <w:rPr>
          <w:rFonts w:hint="eastAsia"/>
          <w:sz w:val="20"/>
          <w:szCs w:val="20"/>
        </w:rPr>
        <w:t>Fewer</w:t>
      </w:r>
      <w:r>
        <w:rPr>
          <w:sz w:val="20"/>
          <w:szCs w:val="20"/>
        </w:rPr>
        <w:t xml:space="preserve"> DCI formats with scalable </w:t>
      </w:r>
      <w:r>
        <w:rPr>
          <w:rFonts w:hint="eastAsia"/>
          <w:sz w:val="20"/>
          <w:szCs w:val="20"/>
        </w:rPr>
        <w:t xml:space="preserve">payload </w:t>
      </w:r>
      <w:r>
        <w:rPr>
          <w:sz w:val="20"/>
          <w:szCs w:val="20"/>
        </w:rPr>
        <w:t xml:space="preserve">design should be </w:t>
      </w:r>
      <w:r>
        <w:rPr>
          <w:rFonts w:hint="eastAsia"/>
          <w:sz w:val="20"/>
          <w:szCs w:val="20"/>
        </w:rPr>
        <w:t>considered</w:t>
      </w:r>
      <w:r>
        <w:rPr>
          <w:sz w:val="20"/>
          <w:szCs w:val="20"/>
        </w:rPr>
        <w:t xml:space="preserve">. </w:t>
      </w:r>
    </w:p>
    <w:p w14:paraId="5E3C8736" w14:textId="77777777" w:rsidR="00C41F5F" w:rsidRDefault="00832B23">
      <w:pPr>
        <w:pStyle w:val="af9"/>
        <w:numPr>
          <w:ilvl w:val="0"/>
          <w:numId w:val="23"/>
        </w:numPr>
        <w:snapToGrid w:val="0"/>
        <w:spacing w:beforeLines="50" w:before="120" w:after="120" w:line="240" w:lineRule="auto"/>
        <w:ind w:left="363" w:hanging="363"/>
        <w:rPr>
          <w:sz w:val="20"/>
          <w:szCs w:val="20"/>
        </w:rPr>
      </w:pPr>
      <w:r>
        <w:rPr>
          <w:sz w:val="20"/>
          <w:szCs w:val="20"/>
        </w:rPr>
        <w:t xml:space="preserve">Reliability issue: </w:t>
      </w:r>
      <w:r>
        <w:rPr>
          <w:rFonts w:hint="eastAsia"/>
          <w:sz w:val="20"/>
          <w:szCs w:val="20"/>
        </w:rPr>
        <w:t>F</w:t>
      </w:r>
      <w:r>
        <w:rPr>
          <w:sz w:val="20"/>
          <w:szCs w:val="20"/>
        </w:rPr>
        <w:t>or some devices only supporting narrow bandwidth</w:t>
      </w:r>
      <w:r>
        <w:rPr>
          <w:rFonts w:hint="eastAsia"/>
          <w:sz w:val="20"/>
          <w:szCs w:val="20"/>
        </w:rPr>
        <w:t>s</w:t>
      </w:r>
      <w:r>
        <w:rPr>
          <w:sz w:val="20"/>
          <w:szCs w:val="20"/>
        </w:rPr>
        <w:t>, e.g. 5MHz o</w:t>
      </w:r>
      <w:r>
        <w:rPr>
          <w:sz w:val="20"/>
          <w:szCs w:val="20"/>
        </w:rPr>
        <w:t xml:space="preserve">r </w:t>
      </w:r>
      <w:r>
        <w:rPr>
          <w:rFonts w:hint="eastAsia"/>
          <w:sz w:val="20"/>
          <w:szCs w:val="20"/>
        </w:rPr>
        <w:t xml:space="preserve">even </w:t>
      </w:r>
      <w:r>
        <w:rPr>
          <w:sz w:val="20"/>
          <w:szCs w:val="20"/>
        </w:rPr>
        <w:t xml:space="preserve">3MHz, the current NR PDCCH design with maximum 3 OFDM symbols may not be sufficient to support larger aggregation level, e.g. for a CORESET with 24 PRBs in 5MHz bandwidth, 4 symbols are required to support aggregation level 16 CCE. </w:t>
      </w:r>
    </w:p>
    <w:p w14:paraId="531BFE2E" w14:textId="77777777" w:rsidR="00C41F5F" w:rsidRDefault="00832B23">
      <w:pPr>
        <w:pStyle w:val="af9"/>
        <w:numPr>
          <w:ilvl w:val="0"/>
          <w:numId w:val="23"/>
        </w:numPr>
        <w:snapToGrid w:val="0"/>
        <w:spacing w:beforeLines="50" w:before="120" w:after="120" w:line="240" w:lineRule="auto"/>
        <w:ind w:left="363" w:hanging="363"/>
        <w:rPr>
          <w:sz w:val="20"/>
          <w:szCs w:val="20"/>
        </w:rPr>
      </w:pPr>
      <w:r>
        <w:rPr>
          <w:sz w:val="20"/>
          <w:szCs w:val="20"/>
        </w:rPr>
        <w:t xml:space="preserve">Blind detection </w:t>
      </w:r>
      <w:r>
        <w:rPr>
          <w:sz w:val="20"/>
          <w:szCs w:val="20"/>
        </w:rPr>
        <w:t xml:space="preserve">complexity: PDCCH blind detection reduction is </w:t>
      </w:r>
      <w:r>
        <w:rPr>
          <w:rFonts w:eastAsia="宋体" w:hint="eastAsia"/>
          <w:sz w:val="20"/>
          <w:szCs w:val="20"/>
        </w:rPr>
        <w:t>critical</w:t>
      </w:r>
      <w:r>
        <w:rPr>
          <w:sz w:val="20"/>
          <w:szCs w:val="20"/>
        </w:rPr>
        <w:t xml:space="preserve"> for UE power saving</w:t>
      </w:r>
      <w:r>
        <w:rPr>
          <w:rFonts w:eastAsia="宋体" w:hint="eastAsia"/>
          <w:sz w:val="20"/>
          <w:szCs w:val="20"/>
        </w:rPr>
        <w:t>.</w:t>
      </w:r>
      <w:r>
        <w:rPr>
          <w:sz w:val="20"/>
          <w:szCs w:val="20"/>
        </w:rPr>
        <w:t xml:space="preserve"> </w:t>
      </w:r>
      <w:r>
        <w:rPr>
          <w:rFonts w:hint="eastAsia"/>
          <w:sz w:val="20"/>
          <w:szCs w:val="20"/>
        </w:rPr>
        <w:t>A</w:t>
      </w:r>
      <w:r>
        <w:rPr>
          <w:sz w:val="20"/>
          <w:szCs w:val="20"/>
        </w:rPr>
        <w:t xml:space="preserve">lthough power </w:t>
      </w:r>
      <w:r>
        <w:rPr>
          <w:rFonts w:hint="eastAsia"/>
          <w:sz w:val="20"/>
          <w:szCs w:val="20"/>
        </w:rPr>
        <w:t xml:space="preserve">saving mechanisms </w:t>
      </w:r>
      <w:r>
        <w:rPr>
          <w:sz w:val="20"/>
          <w:szCs w:val="20"/>
        </w:rPr>
        <w:t>including</w:t>
      </w:r>
      <w:r>
        <w:rPr>
          <w:rFonts w:hint="eastAsia"/>
          <w:sz w:val="20"/>
          <w:szCs w:val="20"/>
        </w:rPr>
        <w:t xml:space="preserve"> </w:t>
      </w:r>
      <w:r>
        <w:rPr>
          <w:sz w:val="20"/>
          <w:szCs w:val="20"/>
        </w:rPr>
        <w:t xml:space="preserve">wake-up indication, </w:t>
      </w:r>
      <w:r>
        <w:rPr>
          <w:rFonts w:hint="eastAsia"/>
          <w:sz w:val="20"/>
          <w:szCs w:val="20"/>
        </w:rPr>
        <w:t>PDCCH skipping</w:t>
      </w:r>
      <w:r>
        <w:rPr>
          <w:sz w:val="20"/>
          <w:szCs w:val="20"/>
        </w:rPr>
        <w:t xml:space="preserve"> and search space set group switching were adopted after Rel-15</w:t>
      </w:r>
      <w:r>
        <w:rPr>
          <w:rFonts w:eastAsia="宋体" w:hint="eastAsia"/>
          <w:sz w:val="20"/>
          <w:szCs w:val="20"/>
        </w:rPr>
        <w:t xml:space="preserve"> in NR</w:t>
      </w:r>
      <w:r>
        <w:rPr>
          <w:sz w:val="20"/>
          <w:szCs w:val="20"/>
        </w:rPr>
        <w:t>,</w:t>
      </w:r>
      <w:r>
        <w:rPr>
          <w:rFonts w:hint="eastAsia"/>
          <w:sz w:val="20"/>
          <w:szCs w:val="20"/>
        </w:rPr>
        <w:t xml:space="preserve"> they are less used in the real </w:t>
      </w:r>
      <w:r>
        <w:rPr>
          <w:rFonts w:hint="eastAsia"/>
          <w:sz w:val="20"/>
          <w:szCs w:val="20"/>
        </w:rPr>
        <w:t>deployment compared with NR basic features</w:t>
      </w:r>
      <w:r>
        <w:rPr>
          <w:sz w:val="20"/>
          <w:szCs w:val="20"/>
        </w:rPr>
        <w:t xml:space="preserve">. </w:t>
      </w:r>
      <w:r>
        <w:rPr>
          <w:rFonts w:hint="eastAsia"/>
          <w:sz w:val="20"/>
          <w:szCs w:val="20"/>
        </w:rPr>
        <w:t xml:space="preserve">Thus, </w:t>
      </w:r>
      <w:r>
        <w:rPr>
          <w:sz w:val="20"/>
          <w:szCs w:val="20"/>
        </w:rPr>
        <w:t xml:space="preserve">blind detection reduction should be </w:t>
      </w:r>
      <w:r>
        <w:rPr>
          <w:rFonts w:hint="eastAsia"/>
          <w:sz w:val="20"/>
          <w:szCs w:val="20"/>
        </w:rPr>
        <w:t xml:space="preserve">studied </w:t>
      </w:r>
      <w:r>
        <w:rPr>
          <w:sz w:val="20"/>
          <w:szCs w:val="20"/>
        </w:rPr>
        <w:t xml:space="preserve">in </w:t>
      </w:r>
      <w:r>
        <w:rPr>
          <w:rFonts w:hint="eastAsia"/>
          <w:sz w:val="20"/>
          <w:szCs w:val="20"/>
        </w:rPr>
        <w:t>6G day1</w:t>
      </w:r>
      <w:r>
        <w:rPr>
          <w:sz w:val="20"/>
          <w:szCs w:val="20"/>
        </w:rPr>
        <w:t>.</w:t>
      </w:r>
    </w:p>
    <w:p w14:paraId="73F30333" w14:textId="77777777" w:rsidR="00C41F5F" w:rsidRDefault="00832B23">
      <w:pPr>
        <w:snapToGrid w:val="0"/>
        <w:spacing w:before="120" w:after="120" w:line="240" w:lineRule="auto"/>
        <w:rPr>
          <w:i/>
          <w:sz w:val="20"/>
        </w:rPr>
      </w:pPr>
      <w:r>
        <w:rPr>
          <w:rFonts w:hint="eastAsia"/>
          <w:b/>
          <w:bCs/>
          <w:i/>
          <w:sz w:val="20"/>
        </w:rPr>
        <w:t xml:space="preserve">Proposal </w:t>
      </w:r>
      <w:r>
        <w:rPr>
          <w:b/>
          <w:bCs/>
          <w:i/>
          <w:sz w:val="20"/>
        </w:rPr>
        <w:t>10-3</w:t>
      </w:r>
      <w:r>
        <w:rPr>
          <w:rFonts w:hint="eastAsia"/>
          <w:b/>
          <w:bCs/>
          <w:i/>
          <w:sz w:val="20"/>
        </w:rPr>
        <w:t xml:space="preserve">-1: </w:t>
      </w:r>
      <w:r>
        <w:rPr>
          <w:rFonts w:eastAsia="Times New Roman" w:hint="eastAsia"/>
          <w:i/>
          <w:sz w:val="20"/>
        </w:rPr>
        <w:t>For 6GR DL control, fewer DCI formats with scalable payload design, more flexible resources in time domain, and PDCCH blind detection</w:t>
      </w:r>
      <w:r>
        <w:rPr>
          <w:rFonts w:eastAsia="Times New Roman" w:hint="eastAsia"/>
          <w:i/>
          <w:sz w:val="20"/>
        </w:rPr>
        <w:t xml:space="preserve"> reduction should be studied.</w:t>
      </w:r>
    </w:p>
    <w:p w14:paraId="4CCEA939" w14:textId="77777777" w:rsidR="00C41F5F" w:rsidRDefault="00832B23">
      <w:pPr>
        <w:numPr>
          <w:ilvl w:val="255"/>
          <w:numId w:val="0"/>
        </w:numPr>
        <w:snapToGrid w:val="0"/>
        <w:spacing w:before="120" w:after="120" w:line="240" w:lineRule="auto"/>
        <w:rPr>
          <w:b/>
          <w:bCs/>
          <w:sz w:val="20"/>
          <w:u w:val="single"/>
        </w:rPr>
      </w:pPr>
      <w:r>
        <w:rPr>
          <w:rFonts w:hint="eastAsia"/>
          <w:b/>
          <w:bCs/>
          <w:sz w:val="20"/>
          <w:u w:val="single"/>
        </w:rPr>
        <w:t>UL control</w:t>
      </w:r>
    </w:p>
    <w:p w14:paraId="2F3EC68D"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eastAsia="宋体" w:hint="eastAsia"/>
          <w:sz w:val="20"/>
          <w:szCs w:val="20"/>
        </w:rPr>
        <w:t>Too many PUCCH formats: F</w:t>
      </w:r>
      <w:r>
        <w:rPr>
          <w:sz w:val="20"/>
          <w:szCs w:val="20"/>
        </w:rPr>
        <w:t xml:space="preserve">ive PUCCH formats are provided to target different use cases. Reducing the number of PUCCH formats is beneficial for protocol simplification and reducing implementation cost. </w:t>
      </w:r>
    </w:p>
    <w:p w14:paraId="1653D6B5" w14:textId="77777777" w:rsidR="00C41F5F" w:rsidRDefault="00832B23">
      <w:pPr>
        <w:snapToGrid w:val="0"/>
        <w:spacing w:before="120" w:after="120" w:line="240" w:lineRule="auto"/>
        <w:rPr>
          <w:b/>
          <w:bCs/>
          <w:i/>
          <w:sz w:val="20"/>
        </w:rPr>
      </w:pPr>
      <w:r>
        <w:rPr>
          <w:rFonts w:hint="eastAsia"/>
          <w:b/>
          <w:bCs/>
          <w:i/>
          <w:sz w:val="20"/>
        </w:rPr>
        <w:t xml:space="preserve">Proposal </w:t>
      </w:r>
      <w:r>
        <w:rPr>
          <w:b/>
          <w:bCs/>
          <w:i/>
          <w:sz w:val="20"/>
        </w:rPr>
        <w:t>10-3-2</w:t>
      </w:r>
      <w:r>
        <w:rPr>
          <w:rFonts w:hint="eastAsia"/>
          <w:b/>
          <w:bCs/>
          <w:i/>
          <w:sz w:val="20"/>
        </w:rPr>
        <w:t xml:space="preserve">: </w:t>
      </w:r>
      <w:r>
        <w:rPr>
          <w:rFonts w:hint="eastAsia"/>
          <w:i/>
          <w:sz w:val="20"/>
        </w:rPr>
        <w:t>For 6GR UL control, fewer PUCCH formats with scalable design should be studied.</w:t>
      </w:r>
    </w:p>
    <w:p w14:paraId="29609C2C" w14:textId="77777777" w:rsidR="00C41F5F" w:rsidRDefault="00832B23">
      <w:pPr>
        <w:numPr>
          <w:ilvl w:val="255"/>
          <w:numId w:val="0"/>
        </w:numPr>
        <w:snapToGrid w:val="0"/>
        <w:spacing w:before="120" w:after="120" w:line="240" w:lineRule="auto"/>
        <w:rPr>
          <w:b/>
          <w:bCs/>
          <w:sz w:val="20"/>
          <w:u w:val="single"/>
        </w:rPr>
      </w:pPr>
      <w:r>
        <w:rPr>
          <w:rFonts w:hint="eastAsia"/>
          <w:b/>
          <w:bCs/>
          <w:sz w:val="20"/>
          <w:u w:val="single"/>
        </w:rPr>
        <w:t>HARQ / scheduling</w:t>
      </w:r>
    </w:p>
    <w:p w14:paraId="7A540338"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eastAsia="宋体" w:hint="eastAsia"/>
          <w:sz w:val="20"/>
          <w:szCs w:val="20"/>
        </w:rPr>
        <w:t xml:space="preserve">UCI multiplexing complexity: For </w:t>
      </w:r>
      <w:r>
        <w:rPr>
          <w:rFonts w:hint="eastAsia"/>
          <w:sz w:val="20"/>
          <w:szCs w:val="20"/>
        </w:rPr>
        <w:t xml:space="preserve">UCI procedures, the </w:t>
      </w:r>
      <w:r>
        <w:rPr>
          <w:rFonts w:eastAsia="宋体" w:hint="eastAsia"/>
          <w:sz w:val="20"/>
          <w:szCs w:val="20"/>
        </w:rPr>
        <w:t xml:space="preserve">NR </w:t>
      </w:r>
      <w:r>
        <w:rPr>
          <w:rFonts w:hint="eastAsia"/>
          <w:sz w:val="20"/>
          <w:szCs w:val="20"/>
        </w:rPr>
        <w:t>multiplexing or dropping rules to determine PUCCH/PUSCH resources carrying UCI are very compli</w:t>
      </w:r>
      <w:r>
        <w:rPr>
          <w:rFonts w:hint="eastAsia"/>
          <w:sz w:val="20"/>
          <w:szCs w:val="20"/>
        </w:rPr>
        <w:t>cated, especially on timelines and procedures for different cases, e.g. HARQ-ACK PUCCH overriding, UCI multiplexing and cancellation of low-priority PUCCH/PUSCH. The 90% of pain comes from complicated NR UCI multiplexing rules. In 6GR, a simplified and uni</w:t>
      </w:r>
      <w:r>
        <w:rPr>
          <w:rFonts w:hint="eastAsia"/>
          <w:sz w:val="20"/>
          <w:szCs w:val="20"/>
        </w:rPr>
        <w:t>fied timeline of UCI multiplexing should be studied.</w:t>
      </w:r>
    </w:p>
    <w:p w14:paraId="040C873D"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hint="eastAsia"/>
          <w:sz w:val="20"/>
          <w:szCs w:val="20"/>
        </w:rPr>
        <w:t>HARQ-ACK codebook for CA: For Type-2 HARQ-ACK codebook, timely DAI assignment coordination is required across all configured serving cells for CA case. It requires gNB schedulers to be aware of the sched</w:t>
      </w:r>
      <w:r>
        <w:rPr>
          <w:rFonts w:hint="eastAsia"/>
          <w:sz w:val="20"/>
          <w:szCs w:val="20"/>
        </w:rPr>
        <w:t>uling status among all serving cells almost without latency, resulting in high implementation cost and complexity, and likely forces gNB vendors and operators to choose Type-1 HARQ-ACK codebook, probably causing extra UCI payload. In 6GR, the Type-2 HARQ-A</w:t>
      </w:r>
      <w:r>
        <w:rPr>
          <w:rFonts w:hint="eastAsia"/>
          <w:sz w:val="20"/>
          <w:szCs w:val="20"/>
        </w:rPr>
        <w:t>CK codebook should be optimized to simplify implementation for this case.</w:t>
      </w:r>
    </w:p>
    <w:p w14:paraId="6FACE76E"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eastAsia="宋体" w:hint="eastAsia"/>
          <w:sz w:val="20"/>
          <w:szCs w:val="20"/>
        </w:rPr>
        <w:t xml:space="preserve">Overhead of CBG based HARQ-ACK codebook: There are TB based HARQ-ACK codebook and CBG based HARQ-ACK codebook, the pros and cons of each type are opposite. For 6GR with </w:t>
      </w:r>
      <w:r>
        <w:rPr>
          <w:sz w:val="20"/>
          <w:szCs w:val="20"/>
        </w:rPr>
        <w:t>large payload</w:t>
      </w:r>
      <w:r>
        <w:rPr>
          <w:sz w:val="20"/>
          <w:szCs w:val="20"/>
        </w:rPr>
        <w:t xml:space="preserve"> transmission, CBG</w:t>
      </w:r>
      <w:r>
        <w:rPr>
          <w:rFonts w:eastAsia="宋体" w:hint="eastAsia"/>
          <w:sz w:val="20"/>
          <w:szCs w:val="20"/>
        </w:rPr>
        <w:t xml:space="preserve"> </w:t>
      </w:r>
      <w:r>
        <w:rPr>
          <w:sz w:val="20"/>
          <w:szCs w:val="20"/>
        </w:rPr>
        <w:t>based HARQ-ACK feedback has higher resource efficiency for retransmission compared with TB based feedback, which can be considered as a starting point for 6GR.</w:t>
      </w:r>
      <w:r>
        <w:rPr>
          <w:rFonts w:hint="eastAsia"/>
          <w:sz w:val="20"/>
          <w:szCs w:val="20"/>
        </w:rPr>
        <w:t xml:space="preserve"> </w:t>
      </w:r>
      <w:r>
        <w:rPr>
          <w:sz w:val="20"/>
          <w:szCs w:val="20"/>
        </w:rPr>
        <w:t>However,</w:t>
      </w:r>
      <w:r>
        <w:rPr>
          <w:rFonts w:eastAsia="宋体" w:hint="eastAsia"/>
          <w:sz w:val="20"/>
          <w:szCs w:val="20"/>
        </w:rPr>
        <w:t xml:space="preserve"> higher HARQ-ACK </w:t>
      </w:r>
      <w:r>
        <w:rPr>
          <w:rFonts w:hint="eastAsia"/>
          <w:sz w:val="20"/>
          <w:szCs w:val="20"/>
        </w:rPr>
        <w:t>overhead</w:t>
      </w:r>
      <w:r>
        <w:rPr>
          <w:rFonts w:eastAsia="宋体" w:hint="eastAsia"/>
          <w:sz w:val="20"/>
          <w:szCs w:val="20"/>
        </w:rPr>
        <w:t xml:space="preserve"> would also be caused</w:t>
      </w:r>
      <w:r>
        <w:rPr>
          <w:rFonts w:hint="eastAsia"/>
          <w:sz w:val="20"/>
          <w:szCs w:val="20"/>
        </w:rPr>
        <w:t>.</w:t>
      </w:r>
      <w:r>
        <w:rPr>
          <w:sz w:val="20"/>
          <w:szCs w:val="20"/>
        </w:rPr>
        <w:t xml:space="preserve"> </w:t>
      </w:r>
      <w:r>
        <w:rPr>
          <w:rFonts w:hint="eastAsia"/>
          <w:sz w:val="20"/>
          <w:szCs w:val="20"/>
        </w:rPr>
        <w:t>In 6GR,</w:t>
      </w:r>
      <w:r>
        <w:rPr>
          <w:sz w:val="20"/>
          <w:szCs w:val="20"/>
        </w:rPr>
        <w:t xml:space="preserve"> solutions for</w:t>
      </w:r>
      <w:r>
        <w:rPr>
          <w:sz w:val="20"/>
          <w:szCs w:val="20"/>
        </w:rPr>
        <w:t xml:space="preserve"> reducing the HARQ-ACK </w:t>
      </w:r>
      <w:r>
        <w:rPr>
          <w:rFonts w:eastAsia="宋体" w:hint="eastAsia"/>
          <w:sz w:val="20"/>
          <w:szCs w:val="20"/>
        </w:rPr>
        <w:t>overhead</w:t>
      </w:r>
      <w:r>
        <w:rPr>
          <w:sz w:val="20"/>
          <w:szCs w:val="20"/>
        </w:rPr>
        <w:t xml:space="preserve"> </w:t>
      </w:r>
      <w:r>
        <w:rPr>
          <w:rFonts w:eastAsia="宋体" w:hint="eastAsia"/>
          <w:sz w:val="20"/>
          <w:szCs w:val="20"/>
        </w:rPr>
        <w:t xml:space="preserve">should </w:t>
      </w:r>
      <w:r>
        <w:rPr>
          <w:sz w:val="20"/>
          <w:szCs w:val="20"/>
        </w:rPr>
        <w:t>be considered</w:t>
      </w:r>
      <w:r>
        <w:rPr>
          <w:rFonts w:eastAsia="宋体" w:hint="eastAsia"/>
          <w:sz w:val="20"/>
          <w:szCs w:val="20"/>
        </w:rPr>
        <w:t xml:space="preserve">. </w:t>
      </w:r>
    </w:p>
    <w:p w14:paraId="5737509C"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hint="eastAsia"/>
          <w:sz w:val="20"/>
          <w:szCs w:val="20"/>
        </w:rPr>
        <w:t xml:space="preserve">MCS level </w:t>
      </w:r>
      <w:r>
        <w:rPr>
          <w:rFonts w:eastAsia="宋体" w:hint="eastAsia"/>
          <w:sz w:val="20"/>
          <w:szCs w:val="20"/>
        </w:rPr>
        <w:t xml:space="preserve">for PDSCH: </w:t>
      </w:r>
      <w:r>
        <w:rPr>
          <w:rFonts w:hint="eastAsia"/>
          <w:sz w:val="20"/>
          <w:szCs w:val="20"/>
        </w:rPr>
        <w:t>Accura</w:t>
      </w:r>
      <w:r>
        <w:rPr>
          <w:sz w:val="20"/>
          <w:szCs w:val="20"/>
        </w:rPr>
        <w:t>te</w:t>
      </w:r>
      <w:r>
        <w:rPr>
          <w:rFonts w:hint="eastAsia"/>
          <w:sz w:val="20"/>
          <w:szCs w:val="20"/>
        </w:rPr>
        <w:t xml:space="preserve"> CQI report </w:t>
      </w:r>
      <w:r>
        <w:rPr>
          <w:sz w:val="20"/>
          <w:szCs w:val="20"/>
        </w:rPr>
        <w:t>is essential for low-latency traffic, such as immersive commutation, HR</w:t>
      </w:r>
      <w:r>
        <w:rPr>
          <w:rFonts w:hint="eastAsia"/>
          <w:sz w:val="20"/>
          <w:szCs w:val="20"/>
        </w:rPr>
        <w:t>LLC</w:t>
      </w:r>
      <w:r>
        <w:rPr>
          <w:sz w:val="20"/>
          <w:szCs w:val="20"/>
        </w:rPr>
        <w:t>, etc</w:t>
      </w:r>
      <w:r>
        <w:rPr>
          <w:rFonts w:hint="eastAsia"/>
          <w:sz w:val="20"/>
          <w:szCs w:val="20"/>
        </w:rPr>
        <w:t xml:space="preserve">. </w:t>
      </w:r>
      <w:r>
        <w:rPr>
          <w:sz w:val="20"/>
          <w:szCs w:val="20"/>
        </w:rPr>
        <w:t>An</w:t>
      </w:r>
      <w:r>
        <w:rPr>
          <w:rFonts w:hint="eastAsia"/>
          <w:sz w:val="20"/>
          <w:szCs w:val="20"/>
        </w:rPr>
        <w:t xml:space="preserve"> inaccurate CQI report</w:t>
      </w:r>
      <w:r>
        <w:rPr>
          <w:sz w:val="20"/>
          <w:szCs w:val="20"/>
        </w:rPr>
        <w:t xml:space="preserve"> can mislead </w:t>
      </w:r>
      <w:r>
        <w:rPr>
          <w:rFonts w:hint="eastAsia"/>
          <w:sz w:val="20"/>
          <w:szCs w:val="20"/>
        </w:rPr>
        <w:t xml:space="preserve">base station </w:t>
      </w:r>
      <w:r>
        <w:rPr>
          <w:sz w:val="20"/>
          <w:szCs w:val="20"/>
        </w:rPr>
        <w:t>to</w:t>
      </w:r>
      <w:r>
        <w:rPr>
          <w:rFonts w:hint="eastAsia"/>
          <w:sz w:val="20"/>
          <w:szCs w:val="20"/>
        </w:rPr>
        <w:t xml:space="preserve"> schedule an </w:t>
      </w:r>
      <w:r>
        <w:rPr>
          <w:sz w:val="20"/>
          <w:szCs w:val="20"/>
        </w:rPr>
        <w:t>inappropriate</w:t>
      </w:r>
      <w:r>
        <w:rPr>
          <w:rFonts w:hint="eastAsia"/>
          <w:sz w:val="20"/>
          <w:szCs w:val="20"/>
        </w:rPr>
        <w:t xml:space="preserve"> </w:t>
      </w:r>
      <w:r>
        <w:rPr>
          <w:rFonts w:hint="eastAsia"/>
          <w:sz w:val="20"/>
          <w:szCs w:val="20"/>
        </w:rPr>
        <w:t>MCS level for PDSCH, which may cause redundant resources for initial transmission</w:t>
      </w:r>
      <w:r>
        <w:rPr>
          <w:sz w:val="20"/>
          <w:szCs w:val="20"/>
        </w:rPr>
        <w:t xml:space="preserve"> or </w:t>
      </w:r>
      <w:r>
        <w:rPr>
          <w:rFonts w:hint="eastAsia"/>
          <w:sz w:val="20"/>
          <w:szCs w:val="20"/>
        </w:rPr>
        <w:t xml:space="preserve">multiple re-transmissions. </w:t>
      </w:r>
      <w:r>
        <w:rPr>
          <w:sz w:val="20"/>
          <w:szCs w:val="20"/>
        </w:rPr>
        <w:t>Consequently</w:t>
      </w:r>
      <w:r>
        <w:rPr>
          <w:rFonts w:hint="eastAsia"/>
          <w:sz w:val="20"/>
          <w:szCs w:val="20"/>
        </w:rPr>
        <w:t xml:space="preserve">, </w:t>
      </w:r>
      <w:r>
        <w:rPr>
          <w:sz w:val="20"/>
          <w:szCs w:val="20"/>
        </w:rPr>
        <w:t xml:space="preserve">it would also consume more energy for </w:t>
      </w:r>
      <w:r>
        <w:rPr>
          <w:rFonts w:hint="eastAsia"/>
          <w:sz w:val="20"/>
          <w:szCs w:val="20"/>
        </w:rPr>
        <w:t>both base station and UE</w:t>
      </w:r>
      <w:r>
        <w:rPr>
          <w:sz w:val="20"/>
          <w:szCs w:val="20"/>
        </w:rPr>
        <w:t xml:space="preserve">. Therefore, </w:t>
      </w:r>
      <w:r>
        <w:rPr>
          <w:rFonts w:eastAsia="宋体" w:hint="eastAsia"/>
          <w:sz w:val="20"/>
          <w:szCs w:val="20"/>
        </w:rPr>
        <w:t>in 6GR</w:t>
      </w:r>
      <w:r>
        <w:rPr>
          <w:rFonts w:hint="eastAsia"/>
          <w:sz w:val="20"/>
          <w:szCs w:val="20"/>
        </w:rPr>
        <w:t xml:space="preserve">, </w:t>
      </w:r>
      <w:r>
        <w:rPr>
          <w:sz w:val="20"/>
          <w:szCs w:val="20"/>
        </w:rPr>
        <w:t>solutions for improving CQI feedback accuracy c</w:t>
      </w:r>
      <w:r>
        <w:rPr>
          <w:sz w:val="20"/>
          <w:szCs w:val="20"/>
        </w:rPr>
        <w:t>an be considered</w:t>
      </w:r>
      <w:r>
        <w:rPr>
          <w:rFonts w:eastAsia="宋体" w:hint="eastAsia"/>
          <w:sz w:val="20"/>
          <w:szCs w:val="20"/>
        </w:rPr>
        <w:t>.</w:t>
      </w:r>
    </w:p>
    <w:p w14:paraId="001C4F03" w14:textId="77777777" w:rsidR="00C41F5F" w:rsidRDefault="00832B23">
      <w:pPr>
        <w:snapToGrid w:val="0"/>
        <w:spacing w:before="120" w:after="120" w:line="240" w:lineRule="auto"/>
        <w:rPr>
          <w:i/>
          <w:sz w:val="20"/>
        </w:rPr>
      </w:pPr>
      <w:r>
        <w:rPr>
          <w:rFonts w:hint="eastAsia"/>
          <w:b/>
          <w:bCs/>
          <w:i/>
          <w:sz w:val="20"/>
        </w:rPr>
        <w:t xml:space="preserve">Proposal </w:t>
      </w:r>
      <w:r>
        <w:rPr>
          <w:b/>
          <w:bCs/>
          <w:i/>
          <w:sz w:val="20"/>
        </w:rPr>
        <w:t>10-3-3</w:t>
      </w:r>
      <w:r>
        <w:rPr>
          <w:rFonts w:hint="eastAsia"/>
          <w:b/>
          <w:bCs/>
          <w:i/>
          <w:sz w:val="20"/>
        </w:rPr>
        <w:t xml:space="preserve">: </w:t>
      </w:r>
      <w:r>
        <w:rPr>
          <w:rFonts w:hint="eastAsia"/>
          <w:i/>
          <w:sz w:val="20"/>
        </w:rPr>
        <w:t>For 6GR HARQ scheduling, besides simplified UCI multiplexing, design targets should comprise optimized HARQ-ACK codebook for CA and overhead reduction for CBG based HARQ-ACK codebook</w:t>
      </w:r>
      <w:r>
        <w:rPr>
          <w:rFonts w:eastAsia="Times New Roman" w:hint="eastAsia"/>
          <w:i/>
          <w:sz w:val="20"/>
        </w:rPr>
        <w:t>.</w:t>
      </w:r>
    </w:p>
    <w:p w14:paraId="590FCD80" w14:textId="77777777" w:rsidR="00C41F5F" w:rsidRDefault="00832B23">
      <w:pPr>
        <w:pStyle w:val="3"/>
        <w:numPr>
          <w:ilvl w:val="2"/>
          <w:numId w:val="1"/>
        </w:numPr>
        <w:spacing w:beforeLines="0" w:afterLines="0" w:line="260" w:lineRule="auto"/>
        <w:rPr>
          <w:b/>
          <w:bCs/>
          <w:szCs w:val="24"/>
        </w:rPr>
      </w:pPr>
      <w:r>
        <w:rPr>
          <w:rFonts w:hint="eastAsia"/>
          <w:b/>
          <w:bCs/>
          <w:szCs w:val="24"/>
        </w:rPr>
        <w:t>High-level design consideration</w:t>
      </w:r>
    </w:p>
    <w:p w14:paraId="4E4B962C" w14:textId="77777777" w:rsidR="00C41F5F" w:rsidRDefault="00832B23">
      <w:pPr>
        <w:snapToGrid w:val="0"/>
        <w:spacing w:before="120" w:after="120" w:line="240" w:lineRule="auto"/>
      </w:pPr>
      <w:r>
        <w:rPr>
          <w:rFonts w:hint="eastAsia"/>
          <w:sz w:val="20"/>
        </w:rPr>
        <w:t>Based</w:t>
      </w:r>
      <w:r>
        <w:rPr>
          <w:rFonts w:hint="eastAsia"/>
          <w:sz w:val="20"/>
        </w:rPr>
        <w:t xml:space="preserve"> on the above design targets in section 6.1, the following design proposals can be derived as a starting point.</w:t>
      </w:r>
    </w:p>
    <w:p w14:paraId="44CCE2B6" w14:textId="77777777" w:rsidR="00C41F5F" w:rsidRDefault="00832B23">
      <w:pPr>
        <w:snapToGrid w:val="0"/>
        <w:spacing w:before="120" w:after="120" w:line="240" w:lineRule="auto"/>
        <w:rPr>
          <w:b/>
          <w:bCs/>
          <w:u w:val="single"/>
        </w:rPr>
      </w:pPr>
      <w:r>
        <w:rPr>
          <w:rFonts w:hint="eastAsia"/>
          <w:b/>
          <w:bCs/>
          <w:u w:val="single"/>
        </w:rPr>
        <w:t>DL control</w:t>
      </w:r>
    </w:p>
    <w:p w14:paraId="032239F6"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hint="eastAsia"/>
          <w:sz w:val="20"/>
          <w:szCs w:val="20"/>
        </w:rPr>
        <w:t>Design one or two group common DCI formats in 6GR with forward compatibility</w:t>
      </w:r>
      <w:r>
        <w:rPr>
          <w:sz w:val="20"/>
          <w:szCs w:val="20"/>
        </w:rPr>
        <w:t xml:space="preserve">. </w:t>
      </w:r>
      <w:r>
        <w:rPr>
          <w:rFonts w:hint="eastAsia"/>
          <w:sz w:val="20"/>
          <w:szCs w:val="20"/>
        </w:rPr>
        <w:t>Design two different sizes of unicast DCI formats to su</w:t>
      </w:r>
      <w:r>
        <w:rPr>
          <w:rFonts w:hint="eastAsia"/>
          <w:sz w:val="20"/>
          <w:szCs w:val="20"/>
        </w:rPr>
        <w:t>pport fallback scheduling and non-fallback scheduling, wherein the non-fallback DCI formats could support multi-TTI/carrier scheduling.</w:t>
      </w:r>
    </w:p>
    <w:p w14:paraId="53163DAD"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hint="eastAsia"/>
          <w:sz w:val="20"/>
          <w:szCs w:val="20"/>
        </w:rPr>
        <w:t>More flexible resources in time domain should be supported in 6GR, e.g. CORESET with more than 3 symbols</w:t>
      </w:r>
      <w:r>
        <w:rPr>
          <w:sz w:val="20"/>
          <w:szCs w:val="20"/>
        </w:rPr>
        <w:t xml:space="preserve">. </w:t>
      </w:r>
    </w:p>
    <w:p w14:paraId="1748EF3E" w14:textId="77777777" w:rsidR="00C41F5F" w:rsidRDefault="00832B23">
      <w:pPr>
        <w:pStyle w:val="af9"/>
        <w:numPr>
          <w:ilvl w:val="0"/>
          <w:numId w:val="23"/>
        </w:numPr>
        <w:snapToGrid w:val="0"/>
        <w:spacing w:beforeLines="50" w:before="120" w:after="120" w:line="240" w:lineRule="auto"/>
        <w:ind w:left="363" w:hanging="363"/>
        <w:rPr>
          <w:sz w:val="20"/>
          <w:szCs w:val="20"/>
        </w:rPr>
      </w:pPr>
      <w:r>
        <w:rPr>
          <w:sz w:val="20"/>
          <w:szCs w:val="20"/>
        </w:rPr>
        <w:t>PDCCH blind d</w:t>
      </w:r>
      <w:r>
        <w:rPr>
          <w:sz w:val="20"/>
          <w:szCs w:val="20"/>
        </w:rPr>
        <w:t xml:space="preserve">etection reduction </w:t>
      </w:r>
      <w:r>
        <w:rPr>
          <w:rFonts w:eastAsia="宋体" w:hint="eastAsia"/>
          <w:sz w:val="20"/>
          <w:szCs w:val="20"/>
        </w:rPr>
        <w:t>mechanisms defined in NR can be the starting point. More scalable and simplified schemes can be studied in 6GR, such as dynamic candidate indication, on-demand PDCCH with dedicated resources, candidates counting based on network indicati</w:t>
      </w:r>
      <w:r>
        <w:rPr>
          <w:rFonts w:eastAsia="宋体" w:hint="eastAsia"/>
          <w:sz w:val="20"/>
          <w:szCs w:val="20"/>
        </w:rPr>
        <w:t>on</w:t>
      </w:r>
      <w:r>
        <w:rPr>
          <w:sz w:val="20"/>
          <w:szCs w:val="20"/>
        </w:rPr>
        <w:t>.</w:t>
      </w:r>
    </w:p>
    <w:p w14:paraId="640EDC63" w14:textId="77777777" w:rsidR="00C41F5F" w:rsidRDefault="00832B23">
      <w:pPr>
        <w:snapToGrid w:val="0"/>
        <w:spacing w:before="120" w:after="120" w:line="240" w:lineRule="auto"/>
        <w:rPr>
          <w:i/>
          <w:sz w:val="20"/>
        </w:rPr>
      </w:pPr>
      <w:r>
        <w:rPr>
          <w:rFonts w:hint="eastAsia"/>
          <w:b/>
          <w:bCs/>
          <w:i/>
          <w:sz w:val="20"/>
        </w:rPr>
        <w:lastRenderedPageBreak/>
        <w:t xml:space="preserve">Proposal </w:t>
      </w:r>
      <w:r>
        <w:rPr>
          <w:b/>
          <w:bCs/>
          <w:i/>
          <w:sz w:val="20"/>
        </w:rPr>
        <w:t>10-3-4:</w:t>
      </w:r>
      <w:r>
        <w:rPr>
          <w:rFonts w:hint="eastAsia"/>
          <w:bCs/>
          <w:i/>
          <w:sz w:val="20"/>
        </w:rPr>
        <w:t xml:space="preserve"> </w:t>
      </w:r>
      <w:r>
        <w:rPr>
          <w:rFonts w:hint="eastAsia"/>
          <w:i/>
          <w:sz w:val="20"/>
        </w:rPr>
        <w:t>For DL control, 6GR should consider the following aspects:</w:t>
      </w:r>
    </w:p>
    <w:p w14:paraId="2929AB04"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Design one or two group common DCI formats and two different sizes of unicast DCI formats.</w:t>
      </w:r>
    </w:p>
    <w:p w14:paraId="3E928541"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Reliability especially for UE with narrow bandwidths, e.g. CORESET with more than 3 s</w:t>
      </w:r>
      <w:r>
        <w:rPr>
          <w:rFonts w:hint="eastAsia"/>
          <w:i/>
          <w:sz w:val="20"/>
        </w:rPr>
        <w:t>ymbols.</w:t>
      </w:r>
    </w:p>
    <w:p w14:paraId="160EEF6C" w14:textId="77777777" w:rsidR="00C41F5F" w:rsidRDefault="00832B23">
      <w:pPr>
        <w:numPr>
          <w:ilvl w:val="0"/>
          <w:numId w:val="20"/>
        </w:numPr>
        <w:adjustRightInd w:val="0"/>
        <w:snapToGrid w:val="0"/>
        <w:spacing w:before="120" w:after="120" w:line="240" w:lineRule="auto"/>
        <w:ind w:left="420"/>
        <w:rPr>
          <w:i/>
          <w:sz w:val="20"/>
        </w:rPr>
      </w:pPr>
      <w:r>
        <w:rPr>
          <w:rFonts w:hint="eastAsia"/>
          <w:i/>
          <w:sz w:val="20"/>
        </w:rPr>
        <w:t>Scalable and simplified PDCCH blind detection reduction.</w:t>
      </w:r>
    </w:p>
    <w:p w14:paraId="5603CFC9" w14:textId="77777777" w:rsidR="00C41F5F" w:rsidRDefault="00832B23">
      <w:pPr>
        <w:numPr>
          <w:ilvl w:val="255"/>
          <w:numId w:val="0"/>
        </w:numPr>
        <w:snapToGrid w:val="0"/>
        <w:spacing w:before="120" w:after="120" w:line="240" w:lineRule="auto"/>
        <w:rPr>
          <w:b/>
          <w:bCs/>
          <w:u w:val="single"/>
        </w:rPr>
      </w:pPr>
      <w:r>
        <w:rPr>
          <w:rFonts w:hint="eastAsia"/>
          <w:b/>
          <w:bCs/>
          <w:u w:val="single"/>
        </w:rPr>
        <w:t>UL control</w:t>
      </w:r>
    </w:p>
    <w:p w14:paraId="6B472BC8" w14:textId="77777777" w:rsidR="00C41F5F" w:rsidRDefault="00832B23">
      <w:pPr>
        <w:pStyle w:val="af9"/>
        <w:numPr>
          <w:ilvl w:val="0"/>
          <w:numId w:val="23"/>
        </w:numPr>
        <w:snapToGrid w:val="0"/>
        <w:spacing w:beforeLines="50" w:before="120" w:after="120" w:line="240" w:lineRule="auto"/>
        <w:ind w:left="363" w:hanging="363"/>
        <w:rPr>
          <w:sz w:val="20"/>
          <w:szCs w:val="20"/>
        </w:rPr>
      </w:pPr>
      <w:r>
        <w:rPr>
          <w:sz w:val="20"/>
          <w:szCs w:val="20"/>
        </w:rPr>
        <w:t xml:space="preserve">The unified or compatible PUCCH format simplifies the multiplexing of PUCCHs/PUSCH. </w:t>
      </w:r>
      <w:r>
        <w:rPr>
          <w:rFonts w:hint="eastAsia"/>
          <w:sz w:val="20"/>
          <w:szCs w:val="20"/>
        </w:rPr>
        <w:t>It is enough to introduce t</w:t>
      </w:r>
      <w:r>
        <w:rPr>
          <w:sz w:val="20"/>
          <w:szCs w:val="20"/>
        </w:rPr>
        <w:t xml:space="preserve">wo PUCCH formats. </w:t>
      </w:r>
      <w:r>
        <w:rPr>
          <w:rFonts w:eastAsia="宋体" w:hint="eastAsia"/>
          <w:sz w:val="20"/>
          <w:szCs w:val="20"/>
        </w:rPr>
        <w:t xml:space="preserve">A unified sequence-based PUCCH format can be </w:t>
      </w:r>
      <w:r>
        <w:rPr>
          <w:rFonts w:eastAsia="宋体" w:hint="eastAsia"/>
          <w:sz w:val="20"/>
          <w:szCs w:val="20"/>
        </w:rPr>
        <w:t>considered, which is compatible with PUCCH format 0/1 in 5G NR and</w:t>
      </w:r>
      <w:r>
        <w:rPr>
          <w:sz w:val="20"/>
          <w:szCs w:val="20"/>
        </w:rPr>
        <w:t xml:space="preserve"> </w:t>
      </w:r>
      <w:r>
        <w:rPr>
          <w:rFonts w:eastAsia="宋体" w:hint="eastAsia"/>
          <w:sz w:val="20"/>
          <w:szCs w:val="20"/>
        </w:rPr>
        <w:t>focus</w:t>
      </w:r>
      <w:r>
        <w:rPr>
          <w:sz w:val="20"/>
          <w:szCs w:val="20"/>
        </w:rPr>
        <w:t xml:space="preserve"> on UCI multiplexing between different UEs. </w:t>
      </w:r>
      <w:r>
        <w:rPr>
          <w:rFonts w:hint="eastAsia"/>
          <w:sz w:val="20"/>
          <w:szCs w:val="20"/>
        </w:rPr>
        <w:t xml:space="preserve">For example, </w:t>
      </w:r>
      <w:r>
        <w:rPr>
          <w:rFonts w:eastAsia="宋体" w:hint="eastAsia"/>
          <w:sz w:val="20"/>
          <w:szCs w:val="20"/>
        </w:rPr>
        <w:t xml:space="preserve">X </w:t>
      </w:r>
      <w:r>
        <w:rPr>
          <w:rFonts w:hint="eastAsia"/>
          <w:sz w:val="20"/>
          <w:szCs w:val="20"/>
        </w:rPr>
        <w:t xml:space="preserve">UCI bits are divided into N </w:t>
      </w:r>
      <w:r>
        <w:rPr>
          <w:rFonts w:eastAsia="宋体" w:hint="eastAsia"/>
          <w:sz w:val="20"/>
          <w:szCs w:val="20"/>
        </w:rPr>
        <w:t>parts</w:t>
      </w:r>
      <w:r>
        <w:rPr>
          <w:rFonts w:hint="eastAsia"/>
          <w:sz w:val="20"/>
          <w:szCs w:val="20"/>
        </w:rPr>
        <w:t xml:space="preserve">, and </w:t>
      </w:r>
      <w:r>
        <w:rPr>
          <w:rFonts w:eastAsia="宋体" w:hint="eastAsia"/>
          <w:sz w:val="20"/>
          <w:szCs w:val="20"/>
        </w:rPr>
        <w:t>e</w:t>
      </w:r>
      <w:r>
        <w:rPr>
          <w:rFonts w:hint="eastAsia"/>
          <w:sz w:val="20"/>
          <w:szCs w:val="20"/>
        </w:rPr>
        <w:t xml:space="preserve">ach </w:t>
      </w:r>
      <w:r>
        <w:rPr>
          <w:rFonts w:eastAsia="宋体" w:hint="eastAsia"/>
          <w:sz w:val="20"/>
          <w:szCs w:val="20"/>
        </w:rPr>
        <w:t xml:space="preserve">part </w:t>
      </w:r>
      <w:r>
        <w:rPr>
          <w:rFonts w:hint="eastAsia"/>
          <w:sz w:val="20"/>
          <w:szCs w:val="20"/>
        </w:rPr>
        <w:t>uses 1-2 symbols based on a</w:t>
      </w:r>
      <w:r>
        <w:rPr>
          <w:sz w:val="20"/>
          <w:szCs w:val="20"/>
        </w:rPr>
        <w:t>n</w:t>
      </w:r>
      <w:r>
        <w:rPr>
          <w:rFonts w:hint="eastAsia"/>
          <w:sz w:val="20"/>
          <w:szCs w:val="20"/>
        </w:rPr>
        <w:t xml:space="preserve"> associated sequence or CS(such as PUCCH format </w:t>
      </w:r>
      <w:r>
        <w:rPr>
          <w:rFonts w:hint="eastAsia"/>
          <w:sz w:val="20"/>
          <w:szCs w:val="20"/>
        </w:rPr>
        <w:t>0)</w:t>
      </w:r>
      <w:r>
        <w:rPr>
          <w:rFonts w:eastAsia="宋体" w:hint="eastAsia"/>
          <w:sz w:val="20"/>
          <w:szCs w:val="20"/>
        </w:rPr>
        <w:t xml:space="preserve">. </w:t>
      </w:r>
      <w:r>
        <w:rPr>
          <w:sz w:val="20"/>
          <w:szCs w:val="20"/>
        </w:rPr>
        <w:t>The other PUCCH format targets UCIs</w:t>
      </w:r>
      <w:r>
        <w:rPr>
          <w:rFonts w:eastAsia="宋体" w:hint="eastAsia"/>
          <w:sz w:val="20"/>
          <w:szCs w:val="20"/>
        </w:rPr>
        <w:t xml:space="preserve"> </w:t>
      </w:r>
      <w:r>
        <w:rPr>
          <w:sz w:val="20"/>
          <w:szCs w:val="20"/>
        </w:rPr>
        <w:t xml:space="preserve">focusing on UCI transmission </w:t>
      </w:r>
      <w:r>
        <w:rPr>
          <w:rFonts w:hint="eastAsia"/>
          <w:sz w:val="20"/>
          <w:szCs w:val="20"/>
        </w:rPr>
        <w:t>capacity</w:t>
      </w:r>
      <w:r>
        <w:rPr>
          <w:rFonts w:eastAsia="宋体" w:hint="eastAsia"/>
          <w:sz w:val="20"/>
          <w:szCs w:val="20"/>
        </w:rPr>
        <w:t xml:space="preserve"> and </w:t>
      </w:r>
      <w:r>
        <w:rPr>
          <w:rFonts w:hint="eastAsia"/>
          <w:sz w:val="20"/>
          <w:szCs w:val="20"/>
        </w:rPr>
        <w:t>coverage, e.g.</w:t>
      </w:r>
      <w:r>
        <w:rPr>
          <w:sz w:val="20"/>
          <w:szCs w:val="20"/>
        </w:rPr>
        <w:t xml:space="preserve"> NR PUCCH format 3.</w:t>
      </w:r>
      <w:r>
        <w:rPr>
          <w:rFonts w:hint="eastAsia"/>
          <w:sz w:val="20"/>
          <w:szCs w:val="20"/>
        </w:rPr>
        <w:t xml:space="preserve"> </w:t>
      </w:r>
    </w:p>
    <w:p w14:paraId="246788BA" w14:textId="77777777" w:rsidR="00C41F5F" w:rsidRDefault="00832B23">
      <w:pPr>
        <w:numPr>
          <w:ilvl w:val="255"/>
          <w:numId w:val="0"/>
        </w:numPr>
        <w:snapToGrid w:val="0"/>
        <w:spacing w:before="120" w:after="120" w:line="240" w:lineRule="auto"/>
        <w:rPr>
          <w:i/>
          <w:sz w:val="20"/>
        </w:rPr>
      </w:pPr>
      <w:r>
        <w:rPr>
          <w:rFonts w:hint="eastAsia"/>
          <w:b/>
          <w:bCs/>
          <w:i/>
          <w:sz w:val="20"/>
        </w:rPr>
        <w:t xml:space="preserve">Proposal </w:t>
      </w:r>
      <w:r>
        <w:rPr>
          <w:b/>
          <w:bCs/>
          <w:i/>
          <w:sz w:val="20"/>
        </w:rPr>
        <w:t>10-3-5</w:t>
      </w:r>
      <w:r>
        <w:rPr>
          <w:rFonts w:hint="eastAsia"/>
          <w:b/>
          <w:bCs/>
          <w:i/>
          <w:sz w:val="20"/>
        </w:rPr>
        <w:t>:</w:t>
      </w:r>
      <w:r>
        <w:rPr>
          <w:rFonts w:hint="eastAsia"/>
          <w:i/>
          <w:sz w:val="20"/>
        </w:rPr>
        <w:t xml:space="preserve"> For UL control, two PUCCH formats are targeted with one PUCCH format focusing on UCI multiplexing between different UEs, and the other PUCCH format focusing on UCI transmission capacity and coverage.</w:t>
      </w:r>
    </w:p>
    <w:p w14:paraId="32F4FECB" w14:textId="77777777" w:rsidR="00C41F5F" w:rsidRDefault="00832B23">
      <w:pPr>
        <w:numPr>
          <w:ilvl w:val="255"/>
          <w:numId w:val="0"/>
        </w:numPr>
        <w:snapToGrid w:val="0"/>
        <w:spacing w:before="120" w:after="120" w:line="240" w:lineRule="auto"/>
        <w:rPr>
          <w:sz w:val="20"/>
        </w:rPr>
      </w:pPr>
      <w:r>
        <w:rPr>
          <w:rFonts w:hint="eastAsia"/>
          <w:b/>
          <w:bCs/>
          <w:u w:val="single"/>
        </w:rPr>
        <w:t>HARQ / scheduling</w:t>
      </w:r>
    </w:p>
    <w:p w14:paraId="7BDF8690"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hint="eastAsia"/>
          <w:sz w:val="20"/>
          <w:szCs w:val="20"/>
        </w:rPr>
        <w:t xml:space="preserve">For 6GR, defining a unified timeline </w:t>
      </w:r>
      <w:r>
        <w:rPr>
          <w:rFonts w:hint="eastAsia"/>
          <w:sz w:val="20"/>
          <w:szCs w:val="20"/>
        </w:rPr>
        <w:t xml:space="preserve">based on slot boundaries may be necessary for simplification. Thus, UCIs in all overlapping channels within </w:t>
      </w:r>
      <w:r>
        <w:rPr>
          <w:sz w:val="20"/>
          <w:szCs w:val="20"/>
        </w:rPr>
        <w:t>a</w:t>
      </w:r>
      <w:r>
        <w:rPr>
          <w:rFonts w:hint="eastAsia"/>
          <w:sz w:val="20"/>
          <w:szCs w:val="20"/>
        </w:rPr>
        <w:t xml:space="preserve"> slot can be multiplexed based on the timeline. As illustrated in the following figure, for DCI 2 for release, PDSCH scheduled by DCI 1, ..., and U</w:t>
      </w:r>
      <w:r>
        <w:rPr>
          <w:rFonts w:hint="eastAsia"/>
          <w:sz w:val="20"/>
          <w:szCs w:val="20"/>
        </w:rPr>
        <w:t>L grant end before time S, their corresponding PUCCH 1, PUCCH 2, ..., and PUSCH are in the same slot. And then, the UCIs in PUCCH 1, PUCCH 2, ..., and PUCCH 4 are multiplexed in one PUSCH from PUSCH 1 and PUSCH 2. Since PDSCH 3 occurs after S, its HARQ-ACK</w:t>
      </w:r>
      <w:r>
        <w:rPr>
          <w:rFonts w:hint="eastAsia"/>
          <w:sz w:val="20"/>
          <w:szCs w:val="20"/>
        </w:rPr>
        <w:t xml:space="preserve"> should be transmitted in a subsequent slot, not in the current slot n. Therefore, the existing NR timelines for UCI multiplexing defined based on PUCCH 1 ~ PUCCH 4, PUSCH 1 and PUSCH 2, can be discarded, along with the override timeline between PUCCH 1 an</w:t>
      </w:r>
      <w:r>
        <w:rPr>
          <w:rFonts w:hint="eastAsia"/>
          <w:sz w:val="20"/>
          <w:szCs w:val="20"/>
        </w:rPr>
        <w:t xml:space="preserve">d PUCCH 2. For overlaps among PUCCH 1 ~ PUCCH 4, the NR complex multiplexing rules for PUCCH determination is not needed anymore. Here, </w:t>
      </w:r>
      <w:r>
        <w:rPr>
          <w:rFonts w:hint="eastAsia"/>
          <w:iCs/>
          <w:sz w:val="20"/>
          <w:szCs w:val="20"/>
        </w:rPr>
        <w:t>S</w:t>
      </w:r>
      <w:r>
        <w:rPr>
          <w:rFonts w:hint="eastAsia"/>
          <w:sz w:val="20"/>
          <w:szCs w:val="20"/>
        </w:rPr>
        <w:t xml:space="preserve"> is defined based on the starting boundary of the slot. For HRLLC, the similar design can be considered where a sub-slo</w:t>
      </w:r>
      <w:r>
        <w:rPr>
          <w:rFonts w:hint="eastAsia"/>
          <w:sz w:val="20"/>
          <w:szCs w:val="20"/>
        </w:rPr>
        <w:t xml:space="preserve">t can replace slot n for UCI transmission in the figure. </w:t>
      </w:r>
    </w:p>
    <w:p w14:paraId="493A33D4" w14:textId="77777777" w:rsidR="00C41F5F" w:rsidRDefault="00832B23">
      <w:pPr>
        <w:snapToGrid w:val="0"/>
        <w:spacing w:before="120" w:after="120" w:line="240" w:lineRule="auto"/>
        <w:jc w:val="center"/>
        <w:rPr>
          <w:b/>
          <w:bCs/>
          <w:sz w:val="20"/>
        </w:rPr>
      </w:pPr>
      <w:r>
        <w:rPr>
          <w:noProof/>
          <w:sz w:val="20"/>
        </w:rPr>
        <w:drawing>
          <wp:inline distT="0" distB="0" distL="114300" distR="114300" wp14:anchorId="48E6A845" wp14:editId="53D2365B">
            <wp:extent cx="6130925" cy="1186180"/>
            <wp:effectExtent l="0" t="0" r="10795" b="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17"/>
                    <a:stretch>
                      <a:fillRect/>
                    </a:stretch>
                  </pic:blipFill>
                  <pic:spPr>
                    <a:xfrm>
                      <a:off x="0" y="0"/>
                      <a:ext cx="6130925" cy="1186180"/>
                    </a:xfrm>
                    <a:prstGeom prst="rect">
                      <a:avLst/>
                    </a:prstGeom>
                    <a:noFill/>
                    <a:ln>
                      <a:noFill/>
                    </a:ln>
                  </pic:spPr>
                </pic:pic>
              </a:graphicData>
            </a:graphic>
          </wp:inline>
        </w:drawing>
      </w:r>
    </w:p>
    <w:p w14:paraId="58E32D0C" w14:textId="77777777" w:rsidR="00C41F5F" w:rsidRDefault="00832B23">
      <w:pPr>
        <w:snapToGrid w:val="0"/>
        <w:spacing w:before="120" w:after="120" w:line="240" w:lineRule="auto"/>
        <w:jc w:val="center"/>
        <w:rPr>
          <w:sz w:val="20"/>
        </w:rPr>
      </w:pPr>
      <w:r>
        <w:rPr>
          <w:rFonts w:hint="eastAsia"/>
          <w:sz w:val="20"/>
        </w:rPr>
        <w:t xml:space="preserve">Figure 10.3-1 </w:t>
      </w:r>
      <w:r>
        <w:rPr>
          <w:sz w:val="20"/>
        </w:rPr>
        <w:t xml:space="preserve">An example of </w:t>
      </w:r>
      <w:r>
        <w:rPr>
          <w:rFonts w:hint="eastAsia"/>
          <w:sz w:val="20"/>
        </w:rPr>
        <w:t>simplified</w:t>
      </w:r>
      <w:r>
        <w:rPr>
          <w:sz w:val="20"/>
        </w:rPr>
        <w:t xml:space="preserve"> timeline and UCI multiplexing rules</w:t>
      </w:r>
    </w:p>
    <w:p w14:paraId="1E4407D1"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hint="eastAsia"/>
          <w:sz w:val="20"/>
          <w:szCs w:val="20"/>
        </w:rPr>
        <w:t>For HARQ-ACK codebook for CA, compatible solutions for Type-2 HARQ-ACK codebook with optimized DAI assignment should be s</w:t>
      </w:r>
      <w:r>
        <w:rPr>
          <w:rFonts w:hint="eastAsia"/>
          <w:sz w:val="20"/>
          <w:szCs w:val="20"/>
        </w:rPr>
        <w:t xml:space="preserve">tudied in 6GR, e.g. DAI is counted for each carrier independently. </w:t>
      </w:r>
    </w:p>
    <w:p w14:paraId="32ECAA54"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eastAsia="宋体" w:hint="eastAsia"/>
          <w:sz w:val="20"/>
          <w:szCs w:val="20"/>
        </w:rPr>
        <w:t xml:space="preserve">For overhead reduction of CBG based HARQ-ACK codebook, mixed TB/CBG based HARQ-ACK codebook can be </w:t>
      </w:r>
      <w:r>
        <w:rPr>
          <w:rFonts w:hint="eastAsia"/>
          <w:sz w:val="20"/>
          <w:szCs w:val="20"/>
        </w:rPr>
        <w:t>studied in 6GR</w:t>
      </w:r>
      <w:r>
        <w:rPr>
          <w:rFonts w:eastAsia="宋体" w:hint="eastAsia"/>
          <w:sz w:val="20"/>
          <w:szCs w:val="20"/>
        </w:rPr>
        <w:t>, e.g., the codebook size shall be configured and bit ordering can be based</w:t>
      </w:r>
      <w:r>
        <w:rPr>
          <w:rFonts w:eastAsia="宋体" w:hint="eastAsia"/>
          <w:sz w:val="20"/>
          <w:szCs w:val="20"/>
        </w:rPr>
        <w:t xml:space="preserve"> on DAI with granularity indicated by the UE for each part; </w:t>
      </w:r>
      <w:r>
        <w:rPr>
          <w:sz w:val="20"/>
          <w:szCs w:val="20"/>
        </w:rPr>
        <w:t>e.g., adding header in HARQ-ACK codebook to indicate whether the corresponding TB is correct or not, packet coding based re-transmission.</w:t>
      </w:r>
    </w:p>
    <w:p w14:paraId="3C4F2458" w14:textId="77777777" w:rsidR="00C41F5F" w:rsidRDefault="00832B23">
      <w:pPr>
        <w:pStyle w:val="af9"/>
        <w:numPr>
          <w:ilvl w:val="0"/>
          <w:numId w:val="23"/>
        </w:numPr>
        <w:snapToGrid w:val="0"/>
        <w:spacing w:beforeLines="50" w:before="120" w:after="120" w:line="240" w:lineRule="auto"/>
        <w:ind w:left="363" w:hanging="363"/>
        <w:rPr>
          <w:sz w:val="20"/>
          <w:szCs w:val="20"/>
        </w:rPr>
      </w:pPr>
      <w:r>
        <w:rPr>
          <w:rFonts w:eastAsia="宋体" w:hint="eastAsia"/>
          <w:sz w:val="20"/>
          <w:szCs w:val="20"/>
        </w:rPr>
        <w:t>F</w:t>
      </w:r>
      <w:r>
        <w:rPr>
          <w:sz w:val="20"/>
          <w:szCs w:val="20"/>
        </w:rPr>
        <w:t xml:space="preserve">or </w:t>
      </w:r>
      <w:r>
        <w:rPr>
          <w:rFonts w:eastAsia="宋体" w:hint="eastAsia"/>
          <w:sz w:val="20"/>
          <w:szCs w:val="20"/>
        </w:rPr>
        <w:t>deriving</w:t>
      </w:r>
      <w:r>
        <w:rPr>
          <w:sz w:val="20"/>
          <w:szCs w:val="20"/>
        </w:rPr>
        <w:t xml:space="preserve"> appropriate</w:t>
      </w:r>
      <w:r>
        <w:rPr>
          <w:rFonts w:hint="eastAsia"/>
          <w:sz w:val="20"/>
          <w:szCs w:val="20"/>
        </w:rPr>
        <w:t xml:space="preserve"> MCS level for PDSCH, </w:t>
      </w:r>
      <w:r>
        <w:rPr>
          <w:sz w:val="20"/>
          <w:szCs w:val="20"/>
        </w:rPr>
        <w:t>solutions fo</w:t>
      </w:r>
      <w:r>
        <w:rPr>
          <w:sz w:val="20"/>
          <w:szCs w:val="20"/>
        </w:rPr>
        <w:t xml:space="preserve">r improving CQI feedback accuracy </w:t>
      </w:r>
      <w:r>
        <w:rPr>
          <w:rFonts w:eastAsia="宋体" w:hint="eastAsia"/>
          <w:sz w:val="20"/>
          <w:szCs w:val="20"/>
        </w:rPr>
        <w:t xml:space="preserve">should be </w:t>
      </w:r>
      <w:r>
        <w:rPr>
          <w:rFonts w:hint="eastAsia"/>
          <w:sz w:val="20"/>
          <w:szCs w:val="20"/>
        </w:rPr>
        <w:t>studied in 6GR</w:t>
      </w:r>
      <w:r>
        <w:rPr>
          <w:sz w:val="20"/>
          <w:szCs w:val="20"/>
        </w:rPr>
        <w:t xml:space="preserve">, </w:t>
      </w:r>
      <w:r>
        <w:rPr>
          <w:rFonts w:eastAsia="宋体" w:hint="eastAsia"/>
          <w:sz w:val="20"/>
          <w:szCs w:val="20"/>
        </w:rPr>
        <w:t>e.g.,</w:t>
      </w:r>
      <w:r>
        <w:rPr>
          <w:sz w:val="20"/>
          <w:szCs w:val="20"/>
        </w:rPr>
        <w:t xml:space="preserve"> </w:t>
      </w:r>
      <w:r>
        <w:rPr>
          <w:rFonts w:hint="eastAsia"/>
          <w:sz w:val="20"/>
          <w:szCs w:val="20"/>
        </w:rPr>
        <w:t>soft HARQ-ACK based DM-RS measurement.</w:t>
      </w:r>
    </w:p>
    <w:p w14:paraId="433216EA" w14:textId="77777777" w:rsidR="00C41F5F" w:rsidRDefault="00832B23">
      <w:pPr>
        <w:pStyle w:val="af9"/>
        <w:numPr>
          <w:ilvl w:val="0"/>
          <w:numId w:val="23"/>
        </w:numPr>
        <w:snapToGrid w:val="0"/>
        <w:spacing w:beforeLines="50" w:before="120" w:after="120" w:line="240" w:lineRule="auto"/>
        <w:ind w:left="363" w:hanging="363"/>
        <w:rPr>
          <w:sz w:val="20"/>
          <w:szCs w:val="20"/>
        </w:rPr>
      </w:pPr>
      <w:r>
        <w:rPr>
          <w:sz w:val="20"/>
          <w:szCs w:val="20"/>
        </w:rPr>
        <w:t>Additionally, other aspects, e.g., larger number of HARQ processes, HARQ feedback disabling can also be considered to enable more use cases with high f</w:t>
      </w:r>
      <w:r>
        <w:rPr>
          <w:sz w:val="20"/>
          <w:szCs w:val="20"/>
        </w:rPr>
        <w:t>lexibility, e.g., multi-carrier scheduling, NTN.</w:t>
      </w:r>
    </w:p>
    <w:p w14:paraId="73A5EBC4" w14:textId="77777777" w:rsidR="00C41F5F" w:rsidRDefault="00832B23">
      <w:pPr>
        <w:snapToGrid w:val="0"/>
        <w:spacing w:before="120" w:after="120" w:line="240" w:lineRule="auto"/>
        <w:rPr>
          <w:i/>
          <w:sz w:val="20"/>
        </w:rPr>
      </w:pPr>
      <w:r>
        <w:rPr>
          <w:rFonts w:hint="eastAsia"/>
          <w:b/>
          <w:bCs/>
          <w:i/>
          <w:sz w:val="20"/>
        </w:rPr>
        <w:t xml:space="preserve">Proposal </w:t>
      </w:r>
      <w:r>
        <w:rPr>
          <w:b/>
          <w:bCs/>
          <w:i/>
          <w:sz w:val="20"/>
        </w:rPr>
        <w:t>10-3-6</w:t>
      </w:r>
      <w:r>
        <w:rPr>
          <w:rFonts w:hint="eastAsia"/>
          <w:b/>
          <w:bCs/>
          <w:i/>
          <w:sz w:val="20"/>
        </w:rPr>
        <w:t xml:space="preserve">: </w:t>
      </w:r>
      <w:r>
        <w:rPr>
          <w:rFonts w:hint="eastAsia"/>
          <w:i/>
          <w:sz w:val="20"/>
        </w:rPr>
        <w:t>For HARQ/scheduling, 6GR should consider the following aspects:</w:t>
      </w:r>
    </w:p>
    <w:p w14:paraId="3F52B976" w14:textId="77777777" w:rsidR="00C41F5F" w:rsidRDefault="00832B23">
      <w:pPr>
        <w:numPr>
          <w:ilvl w:val="0"/>
          <w:numId w:val="20"/>
        </w:numPr>
        <w:snapToGrid w:val="0"/>
        <w:spacing w:before="120" w:after="120" w:line="240" w:lineRule="auto"/>
        <w:ind w:left="420"/>
        <w:rPr>
          <w:i/>
          <w:sz w:val="20"/>
        </w:rPr>
      </w:pPr>
      <w:r>
        <w:rPr>
          <w:rFonts w:hint="eastAsia"/>
          <w:i/>
          <w:sz w:val="20"/>
        </w:rPr>
        <w:t>Simplified UCI multiplexing rules with unified timeline</w:t>
      </w:r>
    </w:p>
    <w:p w14:paraId="63A1B610" w14:textId="77777777" w:rsidR="00C41F5F" w:rsidRDefault="00832B23">
      <w:pPr>
        <w:numPr>
          <w:ilvl w:val="0"/>
          <w:numId w:val="20"/>
        </w:numPr>
        <w:snapToGrid w:val="0"/>
        <w:spacing w:before="120" w:after="120" w:line="240" w:lineRule="auto"/>
        <w:ind w:left="420"/>
        <w:rPr>
          <w:i/>
          <w:sz w:val="20"/>
        </w:rPr>
      </w:pPr>
      <w:r>
        <w:rPr>
          <w:rFonts w:hint="eastAsia"/>
          <w:i/>
          <w:sz w:val="20"/>
        </w:rPr>
        <w:t xml:space="preserve">Compatible Type-2 HARQ-ACK codebook for CA to reduce the coordination </w:t>
      </w:r>
      <w:r>
        <w:rPr>
          <w:rFonts w:hint="eastAsia"/>
          <w:i/>
          <w:sz w:val="20"/>
        </w:rPr>
        <w:t xml:space="preserve">among schedulers in different carriers  </w:t>
      </w:r>
    </w:p>
    <w:p w14:paraId="4DD2679E" w14:textId="77777777" w:rsidR="00C41F5F" w:rsidRDefault="00832B23">
      <w:pPr>
        <w:numPr>
          <w:ilvl w:val="0"/>
          <w:numId w:val="20"/>
        </w:numPr>
        <w:snapToGrid w:val="0"/>
        <w:spacing w:before="120" w:after="120" w:line="240" w:lineRule="auto"/>
        <w:ind w:left="420"/>
        <w:rPr>
          <w:i/>
          <w:sz w:val="20"/>
        </w:rPr>
      </w:pPr>
      <w:r>
        <w:rPr>
          <w:rFonts w:hint="eastAsia"/>
          <w:i/>
          <w:sz w:val="20"/>
        </w:rPr>
        <w:t>Overhead reduction/adaptation of CBG</w:t>
      </w:r>
      <w:r>
        <w:rPr>
          <w:i/>
          <w:sz w:val="20"/>
        </w:rPr>
        <w:t xml:space="preserve">-based HARQ-ACK </w:t>
      </w:r>
      <w:r>
        <w:rPr>
          <w:rFonts w:hint="eastAsia"/>
          <w:i/>
          <w:sz w:val="20"/>
        </w:rPr>
        <w:t>codebook</w:t>
      </w:r>
    </w:p>
    <w:p w14:paraId="1BDDF024" w14:textId="77777777" w:rsidR="00C41F5F" w:rsidRDefault="00832B23">
      <w:pPr>
        <w:numPr>
          <w:ilvl w:val="0"/>
          <w:numId w:val="20"/>
        </w:numPr>
        <w:snapToGrid w:val="0"/>
        <w:spacing w:before="120" w:after="120" w:line="240" w:lineRule="auto"/>
        <w:ind w:left="420"/>
        <w:rPr>
          <w:i/>
          <w:sz w:val="20"/>
        </w:rPr>
      </w:pPr>
      <w:r>
        <w:rPr>
          <w:i/>
          <w:sz w:val="20"/>
        </w:rPr>
        <w:lastRenderedPageBreak/>
        <w:t>Soft HARQ-ACK feedback</w:t>
      </w:r>
    </w:p>
    <w:p w14:paraId="2C526374" w14:textId="77777777" w:rsidR="00C41F5F" w:rsidRDefault="00832B23">
      <w:pPr>
        <w:pStyle w:val="2"/>
        <w:keepNext w:val="0"/>
        <w:keepLines w:val="0"/>
        <w:numPr>
          <w:ilvl w:val="1"/>
          <w:numId w:val="1"/>
        </w:numPr>
        <w:spacing w:beforeLines="0" w:afterLines="0" w:line="260" w:lineRule="auto"/>
        <w:ind w:left="576" w:rightChars="0" w:right="0" w:hanging="576"/>
        <w:rPr>
          <w:rFonts w:ascii="Times New Roman" w:eastAsia="宋体" w:hAnsi="Times New Roman"/>
          <w:b/>
          <w:bCs/>
          <w:szCs w:val="28"/>
        </w:rPr>
      </w:pPr>
      <w:r>
        <w:rPr>
          <w:rFonts w:ascii="Times New Roman" w:eastAsia="宋体" w:hAnsi="Times New Roman" w:hint="eastAsia"/>
          <w:b/>
          <w:bCs/>
          <w:szCs w:val="28"/>
        </w:rPr>
        <w:t>Duplex</w:t>
      </w:r>
      <w:r>
        <w:rPr>
          <w:rFonts w:ascii="Times New Roman" w:eastAsia="宋体" w:hAnsi="Times New Roman"/>
          <w:b/>
          <w:bCs/>
          <w:szCs w:val="28"/>
        </w:rPr>
        <w:t xml:space="preserve"> </w:t>
      </w:r>
    </w:p>
    <w:p w14:paraId="6FBE32D4" w14:textId="77777777" w:rsidR="00C41F5F" w:rsidRDefault="00832B23">
      <w:pPr>
        <w:snapToGrid w:val="0"/>
        <w:spacing w:before="120" w:after="120" w:line="240" w:lineRule="auto"/>
        <w:rPr>
          <w:sz w:val="20"/>
        </w:rPr>
      </w:pPr>
      <w:r>
        <w:rPr>
          <w:sz w:val="20"/>
        </w:rPr>
        <w:t>In RAN1#122, the following agreement has been made for Duplex</w:t>
      </w:r>
      <w:r>
        <w:rPr>
          <w:rFonts w:hint="eastAsia"/>
          <w:sz w:val="20"/>
        </w:rPr>
        <w:t>.</w:t>
      </w:r>
    </w:p>
    <w:tbl>
      <w:tblPr>
        <w:tblStyle w:val="af3"/>
        <w:tblW w:w="0" w:type="auto"/>
        <w:tblLook w:val="04A0" w:firstRow="1" w:lastRow="0" w:firstColumn="1" w:lastColumn="0" w:noHBand="0" w:noVBand="1"/>
      </w:tblPr>
      <w:tblGrid>
        <w:gridCol w:w="9650"/>
      </w:tblGrid>
      <w:tr w:rsidR="00C41F5F" w14:paraId="30ECA460" w14:textId="77777777">
        <w:tc>
          <w:tcPr>
            <w:tcW w:w="9650" w:type="dxa"/>
          </w:tcPr>
          <w:p w14:paraId="6EB0D91D" w14:textId="77777777" w:rsidR="00C41F5F" w:rsidRDefault="00832B23">
            <w:pPr>
              <w:spacing w:before="120" w:after="120" w:line="240" w:lineRule="auto"/>
              <w:rPr>
                <w:rFonts w:eastAsia="等线"/>
                <w:sz w:val="20"/>
                <w:highlight w:val="green"/>
              </w:rPr>
            </w:pPr>
            <w:r>
              <w:rPr>
                <w:rFonts w:eastAsia="等线" w:hint="eastAsia"/>
                <w:sz w:val="20"/>
                <w:highlight w:val="green"/>
              </w:rPr>
              <w:t>Agreement</w:t>
            </w:r>
          </w:p>
          <w:p w14:paraId="11860F2B" w14:textId="77777777" w:rsidR="00C41F5F" w:rsidRDefault="00832B23">
            <w:pPr>
              <w:pStyle w:val="23"/>
              <w:numPr>
                <w:ilvl w:val="0"/>
                <w:numId w:val="33"/>
              </w:numPr>
              <w:spacing w:beforeLines="0" w:before="50" w:beforeAutospacing="0" w:afterLines="0" w:after="50" w:afterAutospacing="0" w:line="240" w:lineRule="auto"/>
              <w:ind w:leftChars="0"/>
              <w:contextualSpacing/>
              <w:rPr>
                <w:sz w:val="20"/>
              </w:rPr>
            </w:pPr>
            <w:r>
              <w:rPr>
                <w:rFonts w:hint="eastAsia"/>
                <w:sz w:val="20"/>
              </w:rPr>
              <w:t xml:space="preserve">Study and identify </w:t>
            </w:r>
            <w:r>
              <w:rPr>
                <w:sz w:val="20"/>
              </w:rPr>
              <w:t>the</w:t>
            </w:r>
            <w:r>
              <w:rPr>
                <w:rFonts w:hint="eastAsia"/>
                <w:sz w:val="20"/>
              </w:rPr>
              <w:t xml:space="preserve"> lessons learned from NR</w:t>
            </w:r>
            <w:r>
              <w:rPr>
                <w:rFonts w:eastAsia="等线" w:hint="eastAsia"/>
                <w:sz w:val="20"/>
              </w:rPr>
              <w:t xml:space="preserve"> </w:t>
            </w:r>
            <w:r>
              <w:rPr>
                <w:rFonts w:hint="eastAsia"/>
                <w:sz w:val="20"/>
              </w:rPr>
              <w:t>duplex modes</w:t>
            </w:r>
          </w:p>
          <w:p w14:paraId="5F00B22C" w14:textId="77777777" w:rsidR="00C41F5F" w:rsidRDefault="00832B23">
            <w:pPr>
              <w:pStyle w:val="23"/>
              <w:numPr>
                <w:ilvl w:val="0"/>
                <w:numId w:val="33"/>
              </w:numPr>
              <w:spacing w:beforeLines="0" w:before="50" w:beforeAutospacing="0" w:afterLines="0" w:after="50" w:afterAutospacing="0" w:line="240" w:lineRule="auto"/>
              <w:ind w:leftChars="0"/>
              <w:contextualSpacing/>
              <w:rPr>
                <w:sz w:val="20"/>
              </w:rPr>
            </w:pPr>
            <w:r>
              <w:rPr>
                <w:rFonts w:hint="eastAsia"/>
                <w:sz w:val="20"/>
              </w:rPr>
              <w:t>On 6GR duplexing study, RAN1 considers at least following duplex types</w:t>
            </w:r>
          </w:p>
          <w:p w14:paraId="38C01BC0"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0"/>
              </w:rPr>
            </w:pPr>
            <w:r>
              <w:rPr>
                <w:rFonts w:hint="eastAsia"/>
                <w:sz w:val="20"/>
              </w:rPr>
              <w:t>FD-FDD</w:t>
            </w:r>
          </w:p>
          <w:p w14:paraId="3CF55F74"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0"/>
              </w:rPr>
            </w:pPr>
            <w:r>
              <w:rPr>
                <w:sz w:val="20"/>
              </w:rPr>
              <w:t>Semi-static TDD</w:t>
            </w:r>
          </w:p>
          <w:p w14:paraId="2C5BC2A7"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0"/>
              </w:rPr>
            </w:pPr>
            <w:r>
              <w:rPr>
                <w:sz w:val="20"/>
              </w:rPr>
              <w:t>gNB semi-static SBFD</w:t>
            </w:r>
          </w:p>
          <w:p w14:paraId="57474E84"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0"/>
              </w:rPr>
            </w:pPr>
            <w:r>
              <w:rPr>
                <w:sz w:val="20"/>
              </w:rPr>
              <w:t>HD-FDD</w:t>
            </w:r>
            <w:r>
              <w:rPr>
                <w:rFonts w:hint="eastAsia"/>
                <w:sz w:val="20"/>
              </w:rPr>
              <w:t xml:space="preserve"> on UE side</w:t>
            </w:r>
          </w:p>
          <w:p w14:paraId="659C1397"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0"/>
              </w:rPr>
            </w:pPr>
            <w:r>
              <w:rPr>
                <w:sz w:val="20"/>
              </w:rPr>
              <w:t>Dynamic TDD</w:t>
            </w:r>
          </w:p>
          <w:p w14:paraId="2FA86870" w14:textId="77777777" w:rsidR="00C41F5F" w:rsidRDefault="00832B23">
            <w:pPr>
              <w:pStyle w:val="23"/>
              <w:numPr>
                <w:ilvl w:val="0"/>
                <w:numId w:val="33"/>
              </w:numPr>
              <w:spacing w:beforeLines="0" w:before="50" w:beforeAutospacing="0" w:afterLines="0" w:after="50" w:afterAutospacing="0" w:line="240" w:lineRule="auto"/>
              <w:ind w:leftChars="0"/>
              <w:contextualSpacing/>
              <w:rPr>
                <w:sz w:val="20"/>
              </w:rPr>
            </w:pPr>
            <w:r>
              <w:rPr>
                <w:rFonts w:eastAsia="等线"/>
                <w:sz w:val="20"/>
              </w:rPr>
              <w:t>S</w:t>
            </w:r>
            <w:r>
              <w:rPr>
                <w:rFonts w:eastAsia="等线" w:hint="eastAsia"/>
                <w:sz w:val="20"/>
              </w:rPr>
              <w:t>tudy</w:t>
            </w:r>
            <w:r>
              <w:rPr>
                <w:rFonts w:hint="eastAsia"/>
                <w:sz w:val="20"/>
              </w:rPr>
              <w:t xml:space="preserve"> whether to consider following duplexing types</w:t>
            </w:r>
          </w:p>
          <w:p w14:paraId="6ABB6FB2"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0"/>
              </w:rPr>
            </w:pPr>
            <w:r>
              <w:rPr>
                <w:sz w:val="20"/>
              </w:rPr>
              <w:t>gNB dynamic SBFD</w:t>
            </w:r>
          </w:p>
          <w:p w14:paraId="33B8E5CB"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0"/>
              </w:rPr>
            </w:pPr>
            <w:r>
              <w:rPr>
                <w:sz w:val="20"/>
              </w:rPr>
              <w:t>UE SBFD</w:t>
            </w:r>
          </w:p>
          <w:p w14:paraId="57546653"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0"/>
              </w:rPr>
            </w:pPr>
            <w:r>
              <w:rPr>
                <w:sz w:val="20"/>
              </w:rPr>
              <w:t>gNB FD</w:t>
            </w:r>
          </w:p>
          <w:p w14:paraId="5BE6663A" w14:textId="77777777" w:rsidR="00C41F5F" w:rsidRDefault="00832B23">
            <w:pPr>
              <w:pStyle w:val="23"/>
              <w:numPr>
                <w:ilvl w:val="1"/>
                <w:numId w:val="33"/>
              </w:numPr>
              <w:spacing w:beforeLines="0" w:before="50" w:beforeAutospacing="0" w:afterLines="0" w:after="50" w:afterAutospacing="0" w:line="240" w:lineRule="auto"/>
              <w:ind w:leftChars="0"/>
              <w:contextualSpacing/>
              <w:rPr>
                <w:sz w:val="21"/>
                <w:szCs w:val="21"/>
              </w:rPr>
            </w:pPr>
            <w:r>
              <w:rPr>
                <w:rFonts w:hint="eastAsia"/>
                <w:sz w:val="20"/>
              </w:rPr>
              <w:t>Note: Other du</w:t>
            </w:r>
            <w:r>
              <w:rPr>
                <w:rFonts w:hint="eastAsia"/>
                <w:sz w:val="20"/>
              </w:rPr>
              <w:t>plex modes are not precluded</w:t>
            </w:r>
          </w:p>
        </w:tc>
      </w:tr>
    </w:tbl>
    <w:p w14:paraId="016AC089" w14:textId="77777777" w:rsidR="00C41F5F" w:rsidRDefault="00832B23">
      <w:pPr>
        <w:snapToGrid w:val="0"/>
        <w:spacing w:before="120" w:after="120" w:line="240" w:lineRule="auto"/>
        <w:rPr>
          <w:sz w:val="20"/>
        </w:rPr>
      </w:pPr>
      <w:r>
        <w:rPr>
          <w:sz w:val="20"/>
        </w:rPr>
        <w:t>Among these duplex types, SBFD is considered as one of the promising solutions for increasing the uplink coverage,  while the key challenge of SBFD is interference, i.e., self-interference, intra-site inter-sector interference</w:t>
      </w:r>
      <w:r>
        <w:rPr>
          <w:sz w:val="20"/>
        </w:rPr>
        <w:t xml:space="preserve">, inter-site interference, inter-operator interference, etc. In 6GR, it’s preferred to support SBFD at network side as a day1 functionality with necessary enhancements on top of 5G to address the interference issues. Additionally, </w:t>
      </w:r>
      <w:r>
        <w:rPr>
          <w:rFonts w:hint="eastAsia"/>
          <w:sz w:val="20"/>
        </w:rPr>
        <w:t>since</w:t>
      </w:r>
      <w:r>
        <w:rPr>
          <w:sz w:val="20"/>
        </w:rPr>
        <w:t xml:space="preserve"> it is beneficial fo</w:t>
      </w:r>
      <w:r>
        <w:rPr>
          <w:sz w:val="20"/>
        </w:rPr>
        <w:t>r increasing resource utilization rate from UE perspective and reducing communication latency, it’s recommended to study the UE side SBFD in 6G to fully exploit the potential of SBFD in 6G.</w:t>
      </w:r>
    </w:p>
    <w:p w14:paraId="7768EA15" w14:textId="77777777" w:rsidR="00C41F5F" w:rsidRDefault="00832B23">
      <w:pPr>
        <w:snapToGrid w:val="0"/>
        <w:spacing w:before="120" w:after="120" w:line="240" w:lineRule="auto"/>
        <w:rPr>
          <w:i/>
          <w:sz w:val="20"/>
        </w:rPr>
      </w:pPr>
      <w:r>
        <w:rPr>
          <w:rFonts w:hint="eastAsia"/>
          <w:b/>
          <w:i/>
          <w:sz w:val="20"/>
        </w:rPr>
        <w:t>P</w:t>
      </w:r>
      <w:r>
        <w:rPr>
          <w:b/>
          <w:i/>
          <w:sz w:val="20"/>
        </w:rPr>
        <w:t>roposal</w:t>
      </w:r>
      <w:r>
        <w:rPr>
          <w:rFonts w:hint="eastAsia"/>
          <w:b/>
          <w:i/>
          <w:sz w:val="20"/>
        </w:rPr>
        <w:t xml:space="preserve"> </w:t>
      </w:r>
      <w:r>
        <w:rPr>
          <w:b/>
          <w:i/>
          <w:sz w:val="20"/>
        </w:rPr>
        <w:t>10-4</w:t>
      </w:r>
      <w:r>
        <w:rPr>
          <w:rFonts w:hint="eastAsia"/>
          <w:b/>
          <w:i/>
          <w:sz w:val="20"/>
        </w:rPr>
        <w:t>-1</w:t>
      </w:r>
      <w:r>
        <w:rPr>
          <w:i/>
          <w:sz w:val="20"/>
        </w:rPr>
        <w:t xml:space="preserve">: The UE side SBFD can also be studied in 6GR to </w:t>
      </w:r>
      <w:r>
        <w:rPr>
          <w:i/>
          <w:sz w:val="20"/>
        </w:rPr>
        <w:t>fully exploit the potential of SBFD.</w:t>
      </w:r>
    </w:p>
    <w:p w14:paraId="0EE92F2E" w14:textId="77777777" w:rsidR="00C41F5F" w:rsidRDefault="00832B23">
      <w:pPr>
        <w:snapToGrid w:val="0"/>
        <w:spacing w:before="120" w:after="120" w:line="240" w:lineRule="auto"/>
        <w:rPr>
          <w:i/>
          <w:sz w:val="20"/>
        </w:rPr>
      </w:pPr>
      <w:r>
        <w:rPr>
          <w:rFonts w:hint="eastAsia"/>
          <w:sz w:val="20"/>
        </w:rPr>
        <w:t>I</w:t>
      </w:r>
      <w:r>
        <w:rPr>
          <w:sz w:val="20"/>
        </w:rPr>
        <w:t>n the duplex discussion, some companies proposed to remove the flexible symbol in 6G and apply fixed TDD pattern. However, this is not aligned with the development trend of mobile communication system, i.e., diverse emerging traffics. From this perspective</w:t>
      </w:r>
      <w:r>
        <w:rPr>
          <w:sz w:val="20"/>
        </w:rPr>
        <w:t xml:space="preserve">, designing the 6G duplex should not only consider the lessons learned from the 5G deployment, but also consider the future diverse emerging traffics. </w:t>
      </w:r>
    </w:p>
    <w:p w14:paraId="22C3A6FE"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Conclusion</w:t>
      </w:r>
    </w:p>
    <w:p w14:paraId="46EA295A" w14:textId="77777777" w:rsidR="00C41F5F" w:rsidRDefault="00832B23">
      <w:pPr>
        <w:pStyle w:val="TOC1"/>
        <w:tabs>
          <w:tab w:val="left" w:pos="1282"/>
        </w:tabs>
        <w:snapToGrid w:val="0"/>
        <w:spacing w:before="120" w:after="120"/>
        <w:rPr>
          <w:b w:val="0"/>
          <w:i w:val="0"/>
        </w:rPr>
      </w:pPr>
      <w:r>
        <w:rPr>
          <w:rFonts w:hint="eastAsia"/>
          <w:b w:val="0"/>
          <w:i w:val="0"/>
        </w:rPr>
        <w:t xml:space="preserve">In this contribution, </w:t>
      </w:r>
      <w:r>
        <w:rPr>
          <w:b w:val="0"/>
          <w:i w:val="0"/>
        </w:rPr>
        <w:t>our views on design targets and high-level design considerations of som</w:t>
      </w:r>
      <w:r>
        <w:rPr>
          <w:b w:val="0"/>
          <w:i w:val="0"/>
        </w:rPr>
        <w:t>e essential aspects are elaborated. The corresponding observations and proposals are provided in corresponding sections.</w:t>
      </w:r>
    </w:p>
    <w:p w14:paraId="20413BB0" w14:textId="77777777" w:rsidR="00C41F5F" w:rsidRDefault="00832B23">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14:paraId="019B8830" w14:textId="77777777" w:rsidR="00C41F5F" w:rsidRDefault="00832B23">
      <w:pPr>
        <w:pStyle w:val="References"/>
        <w:snapToGrid w:val="0"/>
        <w:spacing w:beforeLines="0" w:afterLines="0" w:after="0" w:line="240" w:lineRule="auto"/>
        <w:ind w:left="363" w:hanging="363"/>
        <w:rPr>
          <w:bCs/>
          <w:sz w:val="20"/>
          <w:szCs w:val="20"/>
        </w:rPr>
      </w:pPr>
      <w:bookmarkStart w:id="3" w:name="_Ref205756399"/>
      <w:r>
        <w:rPr>
          <w:bCs/>
          <w:sz w:val="20"/>
          <w:szCs w:val="20"/>
        </w:rPr>
        <w:t>RP-251881, New SID: Study on 6G Radio, NTT DOCOMO (Moderator)</w:t>
      </w:r>
      <w:bookmarkEnd w:id="3"/>
    </w:p>
    <w:p w14:paraId="46C44439" w14:textId="77777777" w:rsidR="00C41F5F" w:rsidRDefault="00832B23">
      <w:pPr>
        <w:pStyle w:val="References"/>
        <w:snapToGrid w:val="0"/>
        <w:spacing w:beforeLines="0" w:afterLines="0" w:after="0" w:line="240" w:lineRule="auto"/>
        <w:ind w:left="363" w:hanging="363"/>
        <w:rPr>
          <w:bCs/>
          <w:sz w:val="20"/>
          <w:szCs w:val="20"/>
        </w:rPr>
      </w:pPr>
      <w:bookmarkStart w:id="4" w:name="_Ref209778073"/>
      <w:r>
        <w:rPr>
          <w:bCs/>
          <w:sz w:val="20"/>
          <w:szCs w:val="20"/>
        </w:rPr>
        <w:t>R1-2506701</w:t>
      </w:r>
      <w:r>
        <w:rPr>
          <w:rFonts w:hint="eastAsia"/>
          <w:bCs/>
          <w:sz w:val="20"/>
          <w:szCs w:val="20"/>
        </w:rPr>
        <w:t>,</w:t>
      </w:r>
      <w:r>
        <w:t xml:space="preserve"> </w:t>
      </w:r>
      <w:r>
        <w:rPr>
          <w:bCs/>
          <w:sz w:val="20"/>
          <w:szCs w:val="20"/>
        </w:rPr>
        <w:t>Highlights from RAN#109, RAN1 Chair.</w:t>
      </w:r>
      <w:bookmarkEnd w:id="4"/>
    </w:p>
    <w:p w14:paraId="727A0DAE" w14:textId="77777777" w:rsidR="00C41F5F" w:rsidRDefault="00832B23">
      <w:pPr>
        <w:pStyle w:val="References"/>
        <w:snapToGrid w:val="0"/>
        <w:spacing w:beforeLines="0" w:afterLines="0" w:after="0" w:line="240" w:lineRule="auto"/>
        <w:ind w:left="363" w:hanging="363"/>
        <w:rPr>
          <w:bCs/>
          <w:sz w:val="20"/>
          <w:szCs w:val="20"/>
        </w:rPr>
      </w:pPr>
      <w:bookmarkStart w:id="5" w:name="_Ref210047492"/>
      <w:r>
        <w:rPr>
          <w:bCs/>
          <w:sz w:val="20"/>
          <w:szCs w:val="20"/>
        </w:rPr>
        <w:t>R1-2505509, H</w:t>
      </w:r>
      <w:r>
        <w:rPr>
          <w:bCs/>
          <w:sz w:val="20"/>
          <w:szCs w:val="20"/>
        </w:rPr>
        <w:t>igh level views on 6GR air interface, ZTE Corporation, Sanechips</w:t>
      </w:r>
      <w:bookmarkStart w:id="6" w:name="_Ref209774976"/>
      <w:r>
        <w:rPr>
          <w:bCs/>
          <w:sz w:val="20"/>
          <w:szCs w:val="20"/>
        </w:rPr>
        <w:t>.</w:t>
      </w:r>
      <w:bookmarkEnd w:id="5"/>
      <w:bookmarkEnd w:id="6"/>
    </w:p>
    <w:p w14:paraId="4F6BC2BF" w14:textId="77777777" w:rsidR="00C41F5F" w:rsidRDefault="00832B23">
      <w:pPr>
        <w:pStyle w:val="References"/>
        <w:snapToGrid w:val="0"/>
        <w:spacing w:beforeLines="0" w:afterLines="0" w:after="0" w:line="240" w:lineRule="auto"/>
        <w:ind w:left="363" w:hanging="363"/>
        <w:rPr>
          <w:bCs/>
          <w:sz w:val="20"/>
          <w:szCs w:val="20"/>
        </w:rPr>
      </w:pPr>
      <w:bookmarkStart w:id="7" w:name="_Ref205728018"/>
      <w:bookmarkStart w:id="8" w:name="_Ref205729358"/>
      <w:r>
        <w:rPr>
          <w:bCs/>
          <w:sz w:val="20"/>
          <w:szCs w:val="20"/>
        </w:rPr>
        <w:t>TR 38.901, Study on channel model for frequencies from 0.5 to 100 GHz</w:t>
      </w:r>
      <w:bookmarkEnd w:id="7"/>
      <w:r>
        <w:rPr>
          <w:bCs/>
          <w:sz w:val="20"/>
          <w:szCs w:val="20"/>
        </w:rPr>
        <w:t xml:space="preserve"> (Rel-19).</w:t>
      </w:r>
      <w:bookmarkEnd w:id="8"/>
    </w:p>
    <w:p w14:paraId="741B0102" w14:textId="77777777" w:rsidR="00C41F5F" w:rsidRDefault="00832B23">
      <w:pPr>
        <w:pStyle w:val="References"/>
        <w:snapToGrid w:val="0"/>
        <w:spacing w:beforeLines="0" w:afterLines="0" w:after="0" w:line="240" w:lineRule="auto"/>
        <w:ind w:left="363" w:hanging="363"/>
        <w:rPr>
          <w:bCs/>
          <w:sz w:val="20"/>
          <w:szCs w:val="20"/>
        </w:rPr>
      </w:pPr>
      <w:bookmarkStart w:id="9" w:name="_Ref205729111"/>
      <w:r>
        <w:rPr>
          <w:bCs/>
          <w:sz w:val="20"/>
          <w:szCs w:val="20"/>
        </w:rPr>
        <w:t>TR 38.830, Study on NR coverage enhancements (R</w:t>
      </w:r>
      <w:r>
        <w:rPr>
          <w:rFonts w:hint="eastAsia"/>
          <w:bCs/>
          <w:sz w:val="20"/>
          <w:szCs w:val="20"/>
        </w:rPr>
        <w:t>el</w:t>
      </w:r>
      <w:r>
        <w:rPr>
          <w:bCs/>
          <w:sz w:val="20"/>
          <w:szCs w:val="20"/>
        </w:rPr>
        <w:t>-17)</w:t>
      </w:r>
      <w:bookmarkEnd w:id="9"/>
    </w:p>
    <w:p w14:paraId="4B02B1F2" w14:textId="77777777" w:rsidR="00C41F5F" w:rsidRDefault="00832B23">
      <w:pPr>
        <w:pStyle w:val="References"/>
        <w:snapToGrid w:val="0"/>
        <w:spacing w:beforeLines="0" w:afterLines="0" w:after="0" w:line="240" w:lineRule="auto"/>
        <w:ind w:left="363" w:hanging="363"/>
        <w:rPr>
          <w:bCs/>
          <w:sz w:val="20"/>
          <w:szCs w:val="20"/>
        </w:rPr>
      </w:pPr>
      <w:bookmarkStart w:id="10" w:name="_Ref205730542"/>
      <w:r>
        <w:rPr>
          <w:bCs/>
          <w:sz w:val="20"/>
          <w:szCs w:val="20"/>
        </w:rPr>
        <w:t>R1-2505276, Discussion on evaluation assumptions for 6GR</w:t>
      </w:r>
      <w:r>
        <w:rPr>
          <w:bCs/>
          <w:sz w:val="20"/>
          <w:szCs w:val="20"/>
        </w:rPr>
        <w:t xml:space="preserve"> air interface, ZTE Corporation, Sanechips</w:t>
      </w:r>
      <w:bookmarkEnd w:id="10"/>
    </w:p>
    <w:p w14:paraId="41717372" w14:textId="77777777" w:rsidR="00C41F5F" w:rsidRDefault="00832B23">
      <w:pPr>
        <w:pStyle w:val="References"/>
        <w:snapToGrid w:val="0"/>
        <w:spacing w:beforeLines="0" w:afterLines="0" w:after="0" w:line="240" w:lineRule="auto"/>
        <w:ind w:left="363" w:hanging="363"/>
        <w:rPr>
          <w:bCs/>
          <w:sz w:val="20"/>
          <w:szCs w:val="20"/>
        </w:rPr>
      </w:pPr>
      <w:bookmarkStart w:id="11" w:name="_Ref205730973"/>
      <w:r>
        <w:rPr>
          <w:bCs/>
          <w:sz w:val="20"/>
          <w:szCs w:val="20"/>
        </w:rPr>
        <w:t>TR 38.914 Study on 6G Scenarios and Requirements; (Release 20)</w:t>
      </w:r>
      <w:bookmarkEnd w:id="11"/>
      <w:r>
        <w:rPr>
          <w:bCs/>
          <w:sz w:val="20"/>
          <w:szCs w:val="20"/>
        </w:rPr>
        <w:t xml:space="preserve"> </w:t>
      </w:r>
    </w:p>
    <w:p w14:paraId="3866B0C9" w14:textId="77777777" w:rsidR="00C41F5F" w:rsidRDefault="00832B23">
      <w:pPr>
        <w:pStyle w:val="References"/>
        <w:snapToGrid w:val="0"/>
        <w:spacing w:beforeLines="0" w:afterLines="0" w:after="0" w:line="240" w:lineRule="auto"/>
        <w:ind w:left="363" w:hanging="363"/>
        <w:rPr>
          <w:bCs/>
          <w:sz w:val="20"/>
          <w:szCs w:val="20"/>
        </w:rPr>
      </w:pPr>
      <w:bookmarkStart w:id="12" w:name="_Ref205735843"/>
      <w:r>
        <w:rPr>
          <w:bCs/>
          <w:sz w:val="20"/>
          <w:szCs w:val="20"/>
        </w:rPr>
        <w:t>R1-2506919, Views on the waveform for 6G, ZTE Corporation, Sanechips</w:t>
      </w:r>
      <w:bookmarkEnd w:id="12"/>
    </w:p>
    <w:p w14:paraId="5698D6BA" w14:textId="77777777" w:rsidR="00C41F5F" w:rsidRDefault="00832B23">
      <w:pPr>
        <w:pStyle w:val="References"/>
        <w:snapToGrid w:val="0"/>
        <w:spacing w:beforeLines="0" w:afterLines="0" w:after="0" w:line="240" w:lineRule="auto"/>
        <w:ind w:left="363" w:hanging="363"/>
        <w:rPr>
          <w:bCs/>
          <w:sz w:val="20"/>
          <w:szCs w:val="20"/>
        </w:rPr>
      </w:pPr>
      <w:bookmarkStart w:id="13" w:name="_Ref206055284"/>
      <w:r>
        <w:rPr>
          <w:bCs/>
          <w:sz w:val="20"/>
          <w:szCs w:val="20"/>
        </w:rPr>
        <w:t>R1-2506830, Discussion on modulation for 6GR, ZTE Corporation, Sanechips</w:t>
      </w:r>
      <w:bookmarkEnd w:id="13"/>
    </w:p>
    <w:p w14:paraId="407270E4" w14:textId="77777777" w:rsidR="00C41F5F" w:rsidRDefault="00832B23">
      <w:pPr>
        <w:pStyle w:val="References"/>
        <w:snapToGrid w:val="0"/>
        <w:spacing w:beforeLines="0" w:afterLines="0" w:after="0" w:line="240" w:lineRule="auto"/>
        <w:ind w:left="363" w:hanging="363"/>
        <w:rPr>
          <w:bCs/>
          <w:sz w:val="20"/>
          <w:szCs w:val="20"/>
        </w:rPr>
      </w:pPr>
      <w:bookmarkStart w:id="14" w:name="_Ref206055352"/>
      <w:r>
        <w:rPr>
          <w:bCs/>
          <w:sz w:val="20"/>
          <w:szCs w:val="20"/>
        </w:rPr>
        <w:t>R1-2506</w:t>
      </w:r>
      <w:r>
        <w:rPr>
          <w:bCs/>
          <w:sz w:val="20"/>
          <w:szCs w:val="20"/>
        </w:rPr>
        <w:t>829, Discussion on channel coding for 6GR, ZTE Corporation, Sanechips</w:t>
      </w:r>
      <w:bookmarkEnd w:id="14"/>
    </w:p>
    <w:p w14:paraId="0161B412" w14:textId="77777777" w:rsidR="00C41F5F" w:rsidRDefault="00832B23">
      <w:pPr>
        <w:pStyle w:val="References"/>
        <w:snapToGrid w:val="0"/>
        <w:spacing w:beforeLines="0" w:afterLines="0" w:after="0" w:line="240" w:lineRule="auto"/>
        <w:ind w:left="363" w:hanging="363"/>
        <w:rPr>
          <w:bCs/>
          <w:sz w:val="20"/>
          <w:szCs w:val="20"/>
        </w:rPr>
      </w:pPr>
      <w:bookmarkStart w:id="15" w:name="_Ref205908397"/>
      <w:r>
        <w:rPr>
          <w:bCs/>
          <w:sz w:val="20"/>
          <w:szCs w:val="20"/>
        </w:rPr>
        <w:t>R1-2506831, Discussion on energy efficiency for 6GR, ZTE Corporation, Sanechips</w:t>
      </w:r>
      <w:bookmarkEnd w:id="15"/>
    </w:p>
    <w:p w14:paraId="1C45D6D4" w14:textId="77777777" w:rsidR="00C41F5F" w:rsidRDefault="00832B23">
      <w:pPr>
        <w:pStyle w:val="References"/>
        <w:snapToGrid w:val="0"/>
        <w:spacing w:beforeLines="0" w:afterLines="0" w:after="0" w:line="240" w:lineRule="auto"/>
        <w:ind w:left="363" w:hanging="363"/>
        <w:rPr>
          <w:sz w:val="20"/>
          <w:szCs w:val="20"/>
        </w:rPr>
      </w:pPr>
      <w:bookmarkStart w:id="16" w:name="_Ref205756004"/>
      <w:r>
        <w:rPr>
          <w:sz w:val="20"/>
          <w:szCs w:val="20"/>
        </w:rPr>
        <w:t>TR 22.870 (V0.3.0), Study on 6G Use Cases and Service Requirements</w:t>
      </w:r>
      <w:bookmarkEnd w:id="16"/>
    </w:p>
    <w:p w14:paraId="3E4F5703" w14:textId="77777777" w:rsidR="00C41F5F" w:rsidRDefault="00832B23">
      <w:pPr>
        <w:pStyle w:val="References"/>
        <w:snapToGrid w:val="0"/>
        <w:spacing w:beforeLines="0" w:afterLines="0" w:after="0" w:line="240" w:lineRule="auto"/>
        <w:ind w:left="363" w:hanging="363"/>
        <w:rPr>
          <w:sz w:val="20"/>
          <w:szCs w:val="20"/>
        </w:rPr>
      </w:pPr>
      <w:bookmarkStart w:id="17" w:name="_Ref206166642"/>
      <w:r>
        <w:rPr>
          <w:sz w:val="20"/>
          <w:szCs w:val="20"/>
        </w:rPr>
        <w:t>R1-2506778, Discussion on AI-based Smar</w:t>
      </w:r>
      <w:r>
        <w:rPr>
          <w:sz w:val="20"/>
          <w:szCs w:val="20"/>
        </w:rPr>
        <w:t>t Radio for 6G Air Interface, ZTE Corporation, Sanechips</w:t>
      </w:r>
      <w:bookmarkEnd w:id="17"/>
    </w:p>
    <w:p w14:paraId="04C9E4D3" w14:textId="77777777" w:rsidR="00C41F5F" w:rsidRDefault="00832B23">
      <w:pPr>
        <w:pStyle w:val="References"/>
        <w:snapToGrid w:val="0"/>
        <w:spacing w:beforeLines="0" w:afterLines="0" w:after="0" w:line="240" w:lineRule="auto"/>
        <w:ind w:left="363" w:hanging="363"/>
        <w:rPr>
          <w:sz w:val="20"/>
          <w:szCs w:val="20"/>
        </w:rPr>
      </w:pPr>
      <w:bookmarkStart w:id="18" w:name="_Ref209798190"/>
      <w:r>
        <w:rPr>
          <w:sz w:val="20"/>
          <w:szCs w:val="20"/>
        </w:rPr>
        <w:t>RP-251933, New SID on GNSS resilient NR-NTN.</w:t>
      </w:r>
      <w:bookmarkEnd w:id="18"/>
    </w:p>
    <w:sectPr w:rsidR="00C41F5F">
      <w:headerReference w:type="even" r:id="rId18"/>
      <w:headerReference w:type="default" r:id="rId19"/>
      <w:footerReference w:type="even" r:id="rId20"/>
      <w:footerReference w:type="default" r:id="rId21"/>
      <w:headerReference w:type="first" r:id="rId22"/>
      <w:footerReference w:type="first" r:id="rId2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DEC36" w14:textId="77777777" w:rsidR="00832B23" w:rsidRDefault="00832B23">
      <w:pPr>
        <w:spacing w:before="120" w:after="120" w:line="240" w:lineRule="auto"/>
      </w:pPr>
      <w:r>
        <w:separator/>
      </w:r>
    </w:p>
  </w:endnote>
  <w:endnote w:type="continuationSeparator" w:id="0">
    <w:p w14:paraId="0F9BF4EF" w14:textId="77777777" w:rsidR="00832B23" w:rsidRDefault="00832B2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B0CC1" w14:textId="77777777" w:rsidR="00C41F5F" w:rsidRDefault="00C41F5F">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B6035" w14:textId="77777777" w:rsidR="00C41F5F" w:rsidRDefault="00832B23">
    <w:pPr>
      <w:pStyle w:val="ac"/>
      <w:spacing w:before="120" w:after="120"/>
    </w:pPr>
    <w:r>
      <w:rPr>
        <w:noProof/>
      </w:rPr>
      <mc:AlternateContent>
        <mc:Choice Requires="wps">
          <w:drawing>
            <wp:anchor distT="0" distB="0" distL="114300" distR="114300" simplePos="0" relativeHeight="251660288" behindDoc="0" locked="0" layoutInCell="1" allowOverlap="1" wp14:anchorId="427C325A" wp14:editId="31A472C0">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584E597" w14:textId="77777777" w:rsidR="00C41F5F" w:rsidRDefault="00832B23">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60288;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C12D" w14:textId="77777777" w:rsidR="00C41F5F" w:rsidRDefault="00C41F5F">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E6CAE" w14:textId="77777777" w:rsidR="00832B23" w:rsidRDefault="00832B23">
      <w:pPr>
        <w:spacing w:before="120" w:after="120"/>
      </w:pPr>
      <w:r>
        <w:separator/>
      </w:r>
    </w:p>
  </w:footnote>
  <w:footnote w:type="continuationSeparator" w:id="0">
    <w:p w14:paraId="6E3AD3C1" w14:textId="77777777" w:rsidR="00832B23" w:rsidRDefault="00832B2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7E80" w14:textId="77777777" w:rsidR="00C41F5F" w:rsidRDefault="00C41F5F">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F27D8" w14:textId="77777777" w:rsidR="00C41F5F" w:rsidRDefault="00C41F5F">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0E6C1" w14:textId="77777777" w:rsidR="00C41F5F" w:rsidRDefault="00C41F5F">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62B48FD"/>
    <w:multiLevelType w:val="multilevel"/>
    <w:tmpl w:val="062B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567"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0E4E6D56"/>
    <w:multiLevelType w:val="multilevel"/>
    <w:tmpl w:val="0E4E6D56"/>
    <w:lvl w:ilvl="0">
      <w:start w:val="1"/>
      <w:numFmt w:val="bullet"/>
      <w:lvlText w:val="•"/>
      <w:lvlJc w:val="left"/>
      <w:pPr>
        <w:ind w:left="1800" w:hanging="360"/>
      </w:pPr>
      <w:rPr>
        <w:rFonts w:ascii="Arial" w:hAnsi="Aria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1CD8369E"/>
    <w:multiLevelType w:val="multilevel"/>
    <w:tmpl w:val="1CD8369E"/>
    <w:lvl w:ilvl="0">
      <w:start w:val="1"/>
      <w:numFmt w:val="bullet"/>
      <w:lvlText w:val=""/>
      <w:lvlJc w:val="left"/>
      <w:pPr>
        <w:tabs>
          <w:tab w:val="left" w:pos="360"/>
        </w:tabs>
        <w:ind w:left="360" w:hanging="360"/>
      </w:pPr>
      <w:rPr>
        <w:rFonts w:ascii="Wingdings" w:hAnsi="Wingdings" w:hint="default"/>
      </w:rPr>
    </w:lvl>
    <w:lvl w:ilvl="1">
      <w:start w:val="18006"/>
      <w:numFmt w:val="bullet"/>
      <w:lvlText w:val=""/>
      <w:lvlJc w:val="left"/>
      <w:pPr>
        <w:tabs>
          <w:tab w:val="left" w:pos="1080"/>
        </w:tabs>
        <w:ind w:left="1080" w:hanging="360"/>
      </w:pPr>
      <w:rPr>
        <w:rFonts w:ascii="Verdana" w:hAnsi="Verdana" w:hint="default"/>
      </w:rPr>
    </w:lvl>
    <w:lvl w:ilvl="2">
      <w:start w:val="18006"/>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90E4B5D"/>
    <w:multiLevelType w:val="multilevel"/>
    <w:tmpl w:val="290E4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DA2F1B"/>
    <w:multiLevelType w:val="multilevel"/>
    <w:tmpl w:val="31DA2F1B"/>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643865"/>
    <w:multiLevelType w:val="multilevel"/>
    <w:tmpl w:val="3B64386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60A2F49"/>
    <w:multiLevelType w:val="multilevel"/>
    <w:tmpl w:val="460A2F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CC907A4"/>
    <w:multiLevelType w:val="multilevel"/>
    <w:tmpl w:val="4CC907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E5437C8"/>
    <w:multiLevelType w:val="multilevel"/>
    <w:tmpl w:val="4E5437C8"/>
    <w:lvl w:ilvl="0">
      <w:start w:val="1"/>
      <w:numFmt w:val="bullet"/>
      <w:lvlText w:val=""/>
      <w:lvlJc w:val="left"/>
      <w:pPr>
        <w:tabs>
          <w:tab w:val="left" w:pos="720"/>
        </w:tabs>
        <w:ind w:left="720" w:hanging="360"/>
      </w:pPr>
      <w:rPr>
        <w:rFonts w:ascii="Wingdings" w:hAnsi="Wingdings" w:hint="default"/>
      </w:rPr>
    </w:lvl>
    <w:lvl w:ilvl="1">
      <w:start w:val="18006"/>
      <w:numFmt w:val="bullet"/>
      <w:lvlText w:val=""/>
      <w:lvlJc w:val="left"/>
      <w:pPr>
        <w:tabs>
          <w:tab w:val="left" w:pos="1440"/>
        </w:tabs>
        <w:ind w:left="1440" w:hanging="360"/>
      </w:pPr>
      <w:rPr>
        <w:rFonts w:ascii="Verdana" w:hAnsi="Verdana"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EDB6629"/>
    <w:multiLevelType w:val="multilevel"/>
    <w:tmpl w:val="4EDB6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8" w15:restartNumberingAfterBreak="0">
    <w:nsid w:val="55FF4EF0"/>
    <w:multiLevelType w:val="multilevel"/>
    <w:tmpl w:val="55FF4E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A07E6F"/>
    <w:multiLevelType w:val="multilevel"/>
    <w:tmpl w:val="56A07E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0BD0A30"/>
    <w:multiLevelType w:val="singleLevel"/>
    <w:tmpl w:val="60BD0A30"/>
    <w:lvl w:ilvl="0">
      <w:start w:val="1"/>
      <w:numFmt w:val="bullet"/>
      <w:lvlText w:val="•"/>
      <w:lvlJc w:val="left"/>
      <w:pPr>
        <w:ind w:left="420" w:hanging="420"/>
      </w:pPr>
      <w:rPr>
        <w:rFonts w:ascii="Arial" w:hAnsi="Arial" w:cs="Arial" w:hint="default"/>
      </w:rPr>
    </w:lvl>
  </w:abstractNum>
  <w:abstractNum w:abstractNumId="23"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D047AAD"/>
    <w:multiLevelType w:val="multilevel"/>
    <w:tmpl w:val="6D047AAD"/>
    <w:lvl w:ilvl="0">
      <w:start w:val="1"/>
      <w:numFmt w:val="bullet"/>
      <w:lvlText w:val=""/>
      <w:lvlJc w:val="left"/>
      <w:pPr>
        <w:ind w:left="835" w:hanging="420"/>
      </w:pPr>
      <w:rPr>
        <w:rFonts w:ascii="Wingdings" w:hAnsi="Wingdings" w:hint="default"/>
      </w:rPr>
    </w:lvl>
    <w:lvl w:ilvl="1">
      <w:start w:val="1"/>
      <w:numFmt w:val="bullet"/>
      <w:lvlText w:val=""/>
      <w:lvlJc w:val="left"/>
      <w:pPr>
        <w:ind w:left="1255" w:hanging="420"/>
      </w:pPr>
      <w:rPr>
        <w:rFonts w:ascii="Wingdings" w:hAnsi="Wingdings" w:hint="default"/>
      </w:rPr>
    </w:lvl>
    <w:lvl w:ilvl="2">
      <w:start w:val="1"/>
      <w:numFmt w:val="bullet"/>
      <w:lvlText w:val=""/>
      <w:lvlJc w:val="left"/>
      <w:pPr>
        <w:ind w:left="1675" w:hanging="420"/>
      </w:pPr>
      <w:rPr>
        <w:rFonts w:ascii="Wingdings" w:hAnsi="Wingdings" w:hint="default"/>
      </w:rPr>
    </w:lvl>
    <w:lvl w:ilvl="3">
      <w:start w:val="1"/>
      <w:numFmt w:val="bullet"/>
      <w:lvlText w:val=""/>
      <w:lvlJc w:val="left"/>
      <w:pPr>
        <w:ind w:left="2095" w:hanging="420"/>
      </w:pPr>
      <w:rPr>
        <w:rFonts w:ascii="Wingdings" w:hAnsi="Wingdings" w:hint="default"/>
      </w:rPr>
    </w:lvl>
    <w:lvl w:ilvl="4">
      <w:start w:val="1"/>
      <w:numFmt w:val="bullet"/>
      <w:lvlText w:val=""/>
      <w:lvlJc w:val="left"/>
      <w:pPr>
        <w:ind w:left="2515" w:hanging="420"/>
      </w:pPr>
      <w:rPr>
        <w:rFonts w:ascii="Wingdings" w:hAnsi="Wingdings" w:hint="default"/>
      </w:rPr>
    </w:lvl>
    <w:lvl w:ilvl="5">
      <w:start w:val="1"/>
      <w:numFmt w:val="bullet"/>
      <w:lvlText w:val=""/>
      <w:lvlJc w:val="left"/>
      <w:pPr>
        <w:ind w:left="2935" w:hanging="420"/>
      </w:pPr>
      <w:rPr>
        <w:rFonts w:ascii="Wingdings" w:hAnsi="Wingdings" w:hint="default"/>
      </w:rPr>
    </w:lvl>
    <w:lvl w:ilvl="6">
      <w:start w:val="1"/>
      <w:numFmt w:val="bullet"/>
      <w:lvlText w:val=""/>
      <w:lvlJc w:val="left"/>
      <w:pPr>
        <w:ind w:left="3355" w:hanging="420"/>
      </w:pPr>
      <w:rPr>
        <w:rFonts w:ascii="Wingdings" w:hAnsi="Wingdings" w:hint="default"/>
      </w:rPr>
    </w:lvl>
    <w:lvl w:ilvl="7">
      <w:start w:val="1"/>
      <w:numFmt w:val="bullet"/>
      <w:lvlText w:val=""/>
      <w:lvlJc w:val="left"/>
      <w:pPr>
        <w:ind w:left="3775" w:hanging="420"/>
      </w:pPr>
      <w:rPr>
        <w:rFonts w:ascii="Wingdings" w:hAnsi="Wingdings" w:hint="default"/>
      </w:rPr>
    </w:lvl>
    <w:lvl w:ilvl="8">
      <w:start w:val="1"/>
      <w:numFmt w:val="bullet"/>
      <w:lvlText w:val=""/>
      <w:lvlJc w:val="left"/>
      <w:pPr>
        <w:ind w:left="4195" w:hanging="420"/>
      </w:pPr>
      <w:rPr>
        <w:rFonts w:ascii="Wingdings" w:hAnsi="Wingdings" w:hint="default"/>
      </w:rPr>
    </w:lvl>
  </w:abstractNum>
  <w:abstractNum w:abstractNumId="27"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29"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0" w15:restartNumberingAfterBreak="0">
    <w:nsid w:val="72211A9B"/>
    <w:multiLevelType w:val="multilevel"/>
    <w:tmpl w:val="72211A9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3373B6"/>
    <w:multiLevelType w:val="multilevel"/>
    <w:tmpl w:val="7D3373B6"/>
    <w:lvl w:ilvl="0">
      <w:start w:val="5"/>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
  </w:num>
  <w:num w:numId="4">
    <w:abstractNumId w:val="2"/>
  </w:num>
  <w:num w:numId="5">
    <w:abstractNumId w:val="20"/>
  </w:num>
  <w:num w:numId="6">
    <w:abstractNumId w:val="28"/>
  </w:num>
  <w:num w:numId="7">
    <w:abstractNumId w:val="17"/>
  </w:num>
  <w:num w:numId="8">
    <w:abstractNumId w:val="25"/>
  </w:num>
  <w:num w:numId="9">
    <w:abstractNumId w:val="3"/>
  </w:num>
  <w:num w:numId="10">
    <w:abstractNumId w:val="19"/>
  </w:num>
  <w:num w:numId="11">
    <w:abstractNumId w:val="13"/>
  </w:num>
  <w:num w:numId="12">
    <w:abstractNumId w:val="14"/>
  </w:num>
  <w:num w:numId="13">
    <w:abstractNumId w:val="21"/>
  </w:num>
  <w:num w:numId="14">
    <w:abstractNumId w:val="12"/>
  </w:num>
  <w:num w:numId="15">
    <w:abstractNumId w:val="11"/>
  </w:num>
  <w:num w:numId="16">
    <w:abstractNumId w:val="30"/>
  </w:num>
  <w:num w:numId="17">
    <w:abstractNumId w:val="16"/>
  </w:num>
  <w:num w:numId="18">
    <w:abstractNumId w:val="6"/>
  </w:num>
  <w:num w:numId="19">
    <w:abstractNumId w:val="15"/>
  </w:num>
  <w:num w:numId="20">
    <w:abstractNumId w:val="0"/>
  </w:num>
  <w:num w:numId="21">
    <w:abstractNumId w:val="31"/>
  </w:num>
  <w:num w:numId="22">
    <w:abstractNumId w:val="24"/>
  </w:num>
  <w:num w:numId="23">
    <w:abstractNumId w:val="29"/>
  </w:num>
  <w:num w:numId="24">
    <w:abstractNumId w:val="22"/>
  </w:num>
  <w:num w:numId="25">
    <w:abstractNumId w:val="27"/>
  </w:num>
  <w:num w:numId="26">
    <w:abstractNumId w:val="9"/>
  </w:num>
  <w:num w:numId="27">
    <w:abstractNumId w:val="5"/>
  </w:num>
  <w:num w:numId="28">
    <w:abstractNumId w:val="7"/>
  </w:num>
  <w:num w:numId="29">
    <w:abstractNumId w:val="18"/>
  </w:num>
  <w:num w:numId="30">
    <w:abstractNumId w:val="26"/>
  </w:num>
  <w:num w:numId="31">
    <w:abstractNumId w:val="32"/>
  </w:num>
  <w:num w:numId="32">
    <w:abstractNumId w:val="8"/>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6998"/>
    <w:rsid w:val="00010584"/>
    <w:rsid w:val="00011C97"/>
    <w:rsid w:val="00011E45"/>
    <w:rsid w:val="000121FF"/>
    <w:rsid w:val="00014072"/>
    <w:rsid w:val="000142CD"/>
    <w:rsid w:val="00015B30"/>
    <w:rsid w:val="0002017C"/>
    <w:rsid w:val="0002087F"/>
    <w:rsid w:val="00021079"/>
    <w:rsid w:val="000226FD"/>
    <w:rsid w:val="00022B42"/>
    <w:rsid w:val="0002331E"/>
    <w:rsid w:val="000334E3"/>
    <w:rsid w:val="00033EE4"/>
    <w:rsid w:val="00037104"/>
    <w:rsid w:val="000411A4"/>
    <w:rsid w:val="00044AE0"/>
    <w:rsid w:val="00045C5C"/>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9A3"/>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E61"/>
    <w:rsid w:val="000B4F2E"/>
    <w:rsid w:val="000B61B6"/>
    <w:rsid w:val="000B786D"/>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6B48"/>
    <w:rsid w:val="000F7D7E"/>
    <w:rsid w:val="00101A32"/>
    <w:rsid w:val="00101C56"/>
    <w:rsid w:val="00101EB2"/>
    <w:rsid w:val="00103906"/>
    <w:rsid w:val="001065F9"/>
    <w:rsid w:val="001074A2"/>
    <w:rsid w:val="00111775"/>
    <w:rsid w:val="00111ECB"/>
    <w:rsid w:val="00115607"/>
    <w:rsid w:val="001215E6"/>
    <w:rsid w:val="00121AA6"/>
    <w:rsid w:val="00125A2E"/>
    <w:rsid w:val="0012638F"/>
    <w:rsid w:val="00131384"/>
    <w:rsid w:val="001331F4"/>
    <w:rsid w:val="00136964"/>
    <w:rsid w:val="0014130E"/>
    <w:rsid w:val="00141B88"/>
    <w:rsid w:val="00142961"/>
    <w:rsid w:val="00142DC0"/>
    <w:rsid w:val="001437FC"/>
    <w:rsid w:val="001459B3"/>
    <w:rsid w:val="00145C2C"/>
    <w:rsid w:val="0014606E"/>
    <w:rsid w:val="001470AA"/>
    <w:rsid w:val="00150421"/>
    <w:rsid w:val="00153BF7"/>
    <w:rsid w:val="00154FB5"/>
    <w:rsid w:val="0015556A"/>
    <w:rsid w:val="001558DB"/>
    <w:rsid w:val="001561A8"/>
    <w:rsid w:val="001566C8"/>
    <w:rsid w:val="00160264"/>
    <w:rsid w:val="00160AA8"/>
    <w:rsid w:val="0016113B"/>
    <w:rsid w:val="001632AB"/>
    <w:rsid w:val="0016604F"/>
    <w:rsid w:val="0017009B"/>
    <w:rsid w:val="0017231D"/>
    <w:rsid w:val="001725A8"/>
    <w:rsid w:val="00172A27"/>
    <w:rsid w:val="00172CF7"/>
    <w:rsid w:val="00173878"/>
    <w:rsid w:val="001745AA"/>
    <w:rsid w:val="001754AE"/>
    <w:rsid w:val="0017658A"/>
    <w:rsid w:val="00180410"/>
    <w:rsid w:val="00180FBE"/>
    <w:rsid w:val="001827D4"/>
    <w:rsid w:val="0018307C"/>
    <w:rsid w:val="001834E4"/>
    <w:rsid w:val="00185206"/>
    <w:rsid w:val="00185908"/>
    <w:rsid w:val="00185A60"/>
    <w:rsid w:val="0018732E"/>
    <w:rsid w:val="00191912"/>
    <w:rsid w:val="00191952"/>
    <w:rsid w:val="00193843"/>
    <w:rsid w:val="0019451B"/>
    <w:rsid w:val="00195F46"/>
    <w:rsid w:val="00196132"/>
    <w:rsid w:val="001969D1"/>
    <w:rsid w:val="001A0398"/>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7083"/>
    <w:rsid w:val="002105FE"/>
    <w:rsid w:val="00212525"/>
    <w:rsid w:val="00212872"/>
    <w:rsid w:val="00213EAA"/>
    <w:rsid w:val="00216169"/>
    <w:rsid w:val="0021628C"/>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6B9D"/>
    <w:rsid w:val="00247A67"/>
    <w:rsid w:val="00247C26"/>
    <w:rsid w:val="002507A7"/>
    <w:rsid w:val="00250965"/>
    <w:rsid w:val="00251814"/>
    <w:rsid w:val="002557BB"/>
    <w:rsid w:val="002560F5"/>
    <w:rsid w:val="00256697"/>
    <w:rsid w:val="00256B05"/>
    <w:rsid w:val="002603BB"/>
    <w:rsid w:val="002605F3"/>
    <w:rsid w:val="00260FDA"/>
    <w:rsid w:val="00261A7E"/>
    <w:rsid w:val="00261C72"/>
    <w:rsid w:val="0026766E"/>
    <w:rsid w:val="00270863"/>
    <w:rsid w:val="00272F77"/>
    <w:rsid w:val="002748A9"/>
    <w:rsid w:val="00275565"/>
    <w:rsid w:val="00282069"/>
    <w:rsid w:val="00282E5B"/>
    <w:rsid w:val="00290380"/>
    <w:rsid w:val="00290ABB"/>
    <w:rsid w:val="00294480"/>
    <w:rsid w:val="00295CC0"/>
    <w:rsid w:val="002A08D8"/>
    <w:rsid w:val="002A10E4"/>
    <w:rsid w:val="002A2417"/>
    <w:rsid w:val="002A2F01"/>
    <w:rsid w:val="002A5023"/>
    <w:rsid w:val="002A5228"/>
    <w:rsid w:val="002A60F0"/>
    <w:rsid w:val="002A7B8B"/>
    <w:rsid w:val="002B0B2D"/>
    <w:rsid w:val="002B116B"/>
    <w:rsid w:val="002B34EC"/>
    <w:rsid w:val="002B4661"/>
    <w:rsid w:val="002B6522"/>
    <w:rsid w:val="002B7B66"/>
    <w:rsid w:val="002B7E94"/>
    <w:rsid w:val="002C1ACA"/>
    <w:rsid w:val="002C4448"/>
    <w:rsid w:val="002C5986"/>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5902"/>
    <w:rsid w:val="00326595"/>
    <w:rsid w:val="003275A3"/>
    <w:rsid w:val="00332B24"/>
    <w:rsid w:val="00332D30"/>
    <w:rsid w:val="00332EEC"/>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31BA"/>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72BB"/>
    <w:rsid w:val="00390178"/>
    <w:rsid w:val="00390423"/>
    <w:rsid w:val="00390FD7"/>
    <w:rsid w:val="00391236"/>
    <w:rsid w:val="00393F48"/>
    <w:rsid w:val="003940A3"/>
    <w:rsid w:val="003951DE"/>
    <w:rsid w:val="00395E7D"/>
    <w:rsid w:val="00396F31"/>
    <w:rsid w:val="00397BA3"/>
    <w:rsid w:val="003A0205"/>
    <w:rsid w:val="003A0267"/>
    <w:rsid w:val="003A1DCE"/>
    <w:rsid w:val="003A3035"/>
    <w:rsid w:val="003A313B"/>
    <w:rsid w:val="003A4365"/>
    <w:rsid w:val="003A6BBE"/>
    <w:rsid w:val="003A74A1"/>
    <w:rsid w:val="003A7EAD"/>
    <w:rsid w:val="003B0C95"/>
    <w:rsid w:val="003B2806"/>
    <w:rsid w:val="003B3CA4"/>
    <w:rsid w:val="003B51C5"/>
    <w:rsid w:val="003B53DF"/>
    <w:rsid w:val="003B5925"/>
    <w:rsid w:val="003B7E6D"/>
    <w:rsid w:val="003C2660"/>
    <w:rsid w:val="003D0305"/>
    <w:rsid w:val="003D11E8"/>
    <w:rsid w:val="003D1C19"/>
    <w:rsid w:val="003D4217"/>
    <w:rsid w:val="003D44C6"/>
    <w:rsid w:val="003E0B87"/>
    <w:rsid w:val="003E1E43"/>
    <w:rsid w:val="003E3F4B"/>
    <w:rsid w:val="003E46CF"/>
    <w:rsid w:val="003E7C0E"/>
    <w:rsid w:val="003E7D79"/>
    <w:rsid w:val="003F06A9"/>
    <w:rsid w:val="003F0720"/>
    <w:rsid w:val="003F469A"/>
    <w:rsid w:val="003F4ABA"/>
    <w:rsid w:val="003F4F91"/>
    <w:rsid w:val="003F6096"/>
    <w:rsid w:val="003F73BD"/>
    <w:rsid w:val="003F7415"/>
    <w:rsid w:val="004003D2"/>
    <w:rsid w:val="004045C7"/>
    <w:rsid w:val="004074D3"/>
    <w:rsid w:val="00410E3F"/>
    <w:rsid w:val="00411E94"/>
    <w:rsid w:val="0041241D"/>
    <w:rsid w:val="00414127"/>
    <w:rsid w:val="00414F7B"/>
    <w:rsid w:val="00415C76"/>
    <w:rsid w:val="00417C55"/>
    <w:rsid w:val="004209E1"/>
    <w:rsid w:val="0042238B"/>
    <w:rsid w:val="00423A77"/>
    <w:rsid w:val="00424C58"/>
    <w:rsid w:val="00425F30"/>
    <w:rsid w:val="0042781A"/>
    <w:rsid w:val="004311DA"/>
    <w:rsid w:val="00431521"/>
    <w:rsid w:val="00432A43"/>
    <w:rsid w:val="00432C08"/>
    <w:rsid w:val="00434E97"/>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5569"/>
    <w:rsid w:val="00466403"/>
    <w:rsid w:val="004700EA"/>
    <w:rsid w:val="0047092D"/>
    <w:rsid w:val="00470A32"/>
    <w:rsid w:val="004710EF"/>
    <w:rsid w:val="004724B4"/>
    <w:rsid w:val="00472B06"/>
    <w:rsid w:val="00475C36"/>
    <w:rsid w:val="00476768"/>
    <w:rsid w:val="00477655"/>
    <w:rsid w:val="0048120F"/>
    <w:rsid w:val="00482706"/>
    <w:rsid w:val="00483D86"/>
    <w:rsid w:val="00490434"/>
    <w:rsid w:val="00492653"/>
    <w:rsid w:val="00492837"/>
    <w:rsid w:val="00493846"/>
    <w:rsid w:val="00495794"/>
    <w:rsid w:val="0049695E"/>
    <w:rsid w:val="004A0FA6"/>
    <w:rsid w:val="004A1353"/>
    <w:rsid w:val="004A142B"/>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3A57"/>
    <w:rsid w:val="004D4BFC"/>
    <w:rsid w:val="004D6C37"/>
    <w:rsid w:val="004D7811"/>
    <w:rsid w:val="004D7C5F"/>
    <w:rsid w:val="004E2393"/>
    <w:rsid w:val="004E3CE4"/>
    <w:rsid w:val="004E419D"/>
    <w:rsid w:val="004E5CF0"/>
    <w:rsid w:val="004E770B"/>
    <w:rsid w:val="004F0C94"/>
    <w:rsid w:val="004F2598"/>
    <w:rsid w:val="004F5941"/>
    <w:rsid w:val="004F5994"/>
    <w:rsid w:val="004F6AF2"/>
    <w:rsid w:val="004F7469"/>
    <w:rsid w:val="004F7BEF"/>
    <w:rsid w:val="00500A8B"/>
    <w:rsid w:val="00500F45"/>
    <w:rsid w:val="00502714"/>
    <w:rsid w:val="00503921"/>
    <w:rsid w:val="005042E8"/>
    <w:rsid w:val="005043EE"/>
    <w:rsid w:val="00507A00"/>
    <w:rsid w:val="00511FA4"/>
    <w:rsid w:val="00514E7E"/>
    <w:rsid w:val="005165D9"/>
    <w:rsid w:val="005176E7"/>
    <w:rsid w:val="005215DC"/>
    <w:rsid w:val="0052299E"/>
    <w:rsid w:val="00523589"/>
    <w:rsid w:val="00523668"/>
    <w:rsid w:val="00523AD9"/>
    <w:rsid w:val="00523CA1"/>
    <w:rsid w:val="00523D5E"/>
    <w:rsid w:val="005269E6"/>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537E"/>
    <w:rsid w:val="0054584C"/>
    <w:rsid w:val="00546436"/>
    <w:rsid w:val="00547723"/>
    <w:rsid w:val="0055245C"/>
    <w:rsid w:val="00552A05"/>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B02"/>
    <w:rsid w:val="0058526A"/>
    <w:rsid w:val="00590930"/>
    <w:rsid w:val="00591F4E"/>
    <w:rsid w:val="0059321F"/>
    <w:rsid w:val="00593818"/>
    <w:rsid w:val="00596BE1"/>
    <w:rsid w:val="005A05C6"/>
    <w:rsid w:val="005A0F6B"/>
    <w:rsid w:val="005A0FE9"/>
    <w:rsid w:val="005A11AB"/>
    <w:rsid w:val="005A2C15"/>
    <w:rsid w:val="005A4493"/>
    <w:rsid w:val="005A6812"/>
    <w:rsid w:val="005B03E1"/>
    <w:rsid w:val="005B0DA5"/>
    <w:rsid w:val="005B19CB"/>
    <w:rsid w:val="005B22CA"/>
    <w:rsid w:val="005B2405"/>
    <w:rsid w:val="005B34F2"/>
    <w:rsid w:val="005B3FC0"/>
    <w:rsid w:val="005B492F"/>
    <w:rsid w:val="005B5299"/>
    <w:rsid w:val="005B77A5"/>
    <w:rsid w:val="005C0481"/>
    <w:rsid w:val="005C04B3"/>
    <w:rsid w:val="005C42E8"/>
    <w:rsid w:val="005C4F62"/>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C3B"/>
    <w:rsid w:val="005E628A"/>
    <w:rsid w:val="005E7343"/>
    <w:rsid w:val="005E76F2"/>
    <w:rsid w:val="005E7EC4"/>
    <w:rsid w:val="005F23AD"/>
    <w:rsid w:val="005F26E5"/>
    <w:rsid w:val="005F4585"/>
    <w:rsid w:val="005F5278"/>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F28"/>
    <w:rsid w:val="00624C23"/>
    <w:rsid w:val="00624D8E"/>
    <w:rsid w:val="006256B8"/>
    <w:rsid w:val="006263A7"/>
    <w:rsid w:val="00627228"/>
    <w:rsid w:val="00630E3D"/>
    <w:rsid w:val="006326B4"/>
    <w:rsid w:val="00632F93"/>
    <w:rsid w:val="00633014"/>
    <w:rsid w:val="006336EF"/>
    <w:rsid w:val="00633E43"/>
    <w:rsid w:val="006340C2"/>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4F58"/>
    <w:rsid w:val="00660213"/>
    <w:rsid w:val="00664912"/>
    <w:rsid w:val="00664A0E"/>
    <w:rsid w:val="00665946"/>
    <w:rsid w:val="00667387"/>
    <w:rsid w:val="006673AF"/>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614A"/>
    <w:rsid w:val="006970DD"/>
    <w:rsid w:val="006A14DD"/>
    <w:rsid w:val="006A14F3"/>
    <w:rsid w:val="006A2588"/>
    <w:rsid w:val="006A345B"/>
    <w:rsid w:val="006A4633"/>
    <w:rsid w:val="006A54BA"/>
    <w:rsid w:val="006A6628"/>
    <w:rsid w:val="006A7FFB"/>
    <w:rsid w:val="006B23FD"/>
    <w:rsid w:val="006B4203"/>
    <w:rsid w:val="006B5918"/>
    <w:rsid w:val="006B5B78"/>
    <w:rsid w:val="006B68F7"/>
    <w:rsid w:val="006C10AC"/>
    <w:rsid w:val="006C1F91"/>
    <w:rsid w:val="006C2229"/>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25E7"/>
    <w:rsid w:val="006F28D7"/>
    <w:rsid w:val="006F4852"/>
    <w:rsid w:val="006F5FE3"/>
    <w:rsid w:val="006F771F"/>
    <w:rsid w:val="00700108"/>
    <w:rsid w:val="00700636"/>
    <w:rsid w:val="00700CED"/>
    <w:rsid w:val="00701BF9"/>
    <w:rsid w:val="00702644"/>
    <w:rsid w:val="007036F7"/>
    <w:rsid w:val="007053FB"/>
    <w:rsid w:val="0070691A"/>
    <w:rsid w:val="0070693A"/>
    <w:rsid w:val="00707252"/>
    <w:rsid w:val="00712C90"/>
    <w:rsid w:val="007133BA"/>
    <w:rsid w:val="00714C47"/>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7BB"/>
    <w:rsid w:val="007440A2"/>
    <w:rsid w:val="00745143"/>
    <w:rsid w:val="00745377"/>
    <w:rsid w:val="00747C56"/>
    <w:rsid w:val="007501AC"/>
    <w:rsid w:val="00751308"/>
    <w:rsid w:val="007515D3"/>
    <w:rsid w:val="00751C1B"/>
    <w:rsid w:val="007527D2"/>
    <w:rsid w:val="00762F1B"/>
    <w:rsid w:val="0076348A"/>
    <w:rsid w:val="00763ED0"/>
    <w:rsid w:val="00764339"/>
    <w:rsid w:val="0076520A"/>
    <w:rsid w:val="0076682E"/>
    <w:rsid w:val="00770254"/>
    <w:rsid w:val="00772DCA"/>
    <w:rsid w:val="00775132"/>
    <w:rsid w:val="0077581A"/>
    <w:rsid w:val="00776147"/>
    <w:rsid w:val="00776882"/>
    <w:rsid w:val="00776E8F"/>
    <w:rsid w:val="0077761A"/>
    <w:rsid w:val="00777AD7"/>
    <w:rsid w:val="0078376A"/>
    <w:rsid w:val="00784828"/>
    <w:rsid w:val="007850B8"/>
    <w:rsid w:val="00785A2A"/>
    <w:rsid w:val="007865C2"/>
    <w:rsid w:val="00786A2C"/>
    <w:rsid w:val="00787FA9"/>
    <w:rsid w:val="007936AD"/>
    <w:rsid w:val="007953F9"/>
    <w:rsid w:val="0079552B"/>
    <w:rsid w:val="007964F3"/>
    <w:rsid w:val="007A0CD8"/>
    <w:rsid w:val="007A2EF0"/>
    <w:rsid w:val="007A379C"/>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40F"/>
    <w:rsid w:val="007C5216"/>
    <w:rsid w:val="007C7C7F"/>
    <w:rsid w:val="007D0ACE"/>
    <w:rsid w:val="007D48BC"/>
    <w:rsid w:val="007D56BC"/>
    <w:rsid w:val="007D71EA"/>
    <w:rsid w:val="007E4A23"/>
    <w:rsid w:val="007E5D5F"/>
    <w:rsid w:val="007E776A"/>
    <w:rsid w:val="007F08BB"/>
    <w:rsid w:val="007F1536"/>
    <w:rsid w:val="007F225A"/>
    <w:rsid w:val="007F39F4"/>
    <w:rsid w:val="007F3E2A"/>
    <w:rsid w:val="007F3FBA"/>
    <w:rsid w:val="007F43DB"/>
    <w:rsid w:val="008003F7"/>
    <w:rsid w:val="0080043D"/>
    <w:rsid w:val="0080289B"/>
    <w:rsid w:val="00802A15"/>
    <w:rsid w:val="00803215"/>
    <w:rsid w:val="00804B0E"/>
    <w:rsid w:val="00804C5B"/>
    <w:rsid w:val="00805646"/>
    <w:rsid w:val="00806213"/>
    <w:rsid w:val="00806CCA"/>
    <w:rsid w:val="0080722B"/>
    <w:rsid w:val="00810C42"/>
    <w:rsid w:val="008125F6"/>
    <w:rsid w:val="00813A16"/>
    <w:rsid w:val="00814642"/>
    <w:rsid w:val="00815748"/>
    <w:rsid w:val="00816215"/>
    <w:rsid w:val="00816EF3"/>
    <w:rsid w:val="0081743A"/>
    <w:rsid w:val="008202D1"/>
    <w:rsid w:val="00821A0A"/>
    <w:rsid w:val="00823161"/>
    <w:rsid w:val="008238CD"/>
    <w:rsid w:val="00824957"/>
    <w:rsid w:val="00825264"/>
    <w:rsid w:val="008266C4"/>
    <w:rsid w:val="00826B6F"/>
    <w:rsid w:val="00832296"/>
    <w:rsid w:val="008329A2"/>
    <w:rsid w:val="00832B23"/>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21EF"/>
    <w:rsid w:val="008B3130"/>
    <w:rsid w:val="008B5251"/>
    <w:rsid w:val="008B547D"/>
    <w:rsid w:val="008B5ACB"/>
    <w:rsid w:val="008B5C48"/>
    <w:rsid w:val="008B65C4"/>
    <w:rsid w:val="008B7F10"/>
    <w:rsid w:val="008C0445"/>
    <w:rsid w:val="008C07C2"/>
    <w:rsid w:val="008C43C8"/>
    <w:rsid w:val="008C4913"/>
    <w:rsid w:val="008D0085"/>
    <w:rsid w:val="008D2EF5"/>
    <w:rsid w:val="008D3D99"/>
    <w:rsid w:val="008D5A97"/>
    <w:rsid w:val="008D5BA1"/>
    <w:rsid w:val="008D7AAA"/>
    <w:rsid w:val="008D7AB2"/>
    <w:rsid w:val="008E168C"/>
    <w:rsid w:val="008E2D60"/>
    <w:rsid w:val="008E4F30"/>
    <w:rsid w:val="008E6A5C"/>
    <w:rsid w:val="008E7404"/>
    <w:rsid w:val="008F1003"/>
    <w:rsid w:val="008F255E"/>
    <w:rsid w:val="008F3DC8"/>
    <w:rsid w:val="008F5D6A"/>
    <w:rsid w:val="008F6D7B"/>
    <w:rsid w:val="009018BF"/>
    <w:rsid w:val="009030C6"/>
    <w:rsid w:val="00903A35"/>
    <w:rsid w:val="009043D4"/>
    <w:rsid w:val="00904D62"/>
    <w:rsid w:val="009078EA"/>
    <w:rsid w:val="00910EB3"/>
    <w:rsid w:val="00910FA4"/>
    <w:rsid w:val="00911651"/>
    <w:rsid w:val="009122B8"/>
    <w:rsid w:val="00914FFA"/>
    <w:rsid w:val="009160FD"/>
    <w:rsid w:val="00921D07"/>
    <w:rsid w:val="00922624"/>
    <w:rsid w:val="00922F07"/>
    <w:rsid w:val="00923BDA"/>
    <w:rsid w:val="00926133"/>
    <w:rsid w:val="00926363"/>
    <w:rsid w:val="00926381"/>
    <w:rsid w:val="00926C48"/>
    <w:rsid w:val="00930388"/>
    <w:rsid w:val="009303AA"/>
    <w:rsid w:val="00932286"/>
    <w:rsid w:val="00933752"/>
    <w:rsid w:val="00933FAF"/>
    <w:rsid w:val="0093617A"/>
    <w:rsid w:val="009366F9"/>
    <w:rsid w:val="009374E3"/>
    <w:rsid w:val="009411A5"/>
    <w:rsid w:val="00941A52"/>
    <w:rsid w:val="00941B5E"/>
    <w:rsid w:val="0094376A"/>
    <w:rsid w:val="00946016"/>
    <w:rsid w:val="00946A7C"/>
    <w:rsid w:val="00947853"/>
    <w:rsid w:val="0095026F"/>
    <w:rsid w:val="00950D02"/>
    <w:rsid w:val="00950DB1"/>
    <w:rsid w:val="00952C83"/>
    <w:rsid w:val="009531FA"/>
    <w:rsid w:val="00954715"/>
    <w:rsid w:val="0095525D"/>
    <w:rsid w:val="00955583"/>
    <w:rsid w:val="00956087"/>
    <w:rsid w:val="00956DEC"/>
    <w:rsid w:val="00957418"/>
    <w:rsid w:val="009579D8"/>
    <w:rsid w:val="00960663"/>
    <w:rsid w:val="009610C6"/>
    <w:rsid w:val="0096194F"/>
    <w:rsid w:val="00962D4E"/>
    <w:rsid w:val="00966C60"/>
    <w:rsid w:val="00966E7D"/>
    <w:rsid w:val="00970630"/>
    <w:rsid w:val="00971A1F"/>
    <w:rsid w:val="00971B9B"/>
    <w:rsid w:val="00972AD3"/>
    <w:rsid w:val="009734B7"/>
    <w:rsid w:val="00973B38"/>
    <w:rsid w:val="00976A03"/>
    <w:rsid w:val="009816EE"/>
    <w:rsid w:val="00981795"/>
    <w:rsid w:val="00981C58"/>
    <w:rsid w:val="00983FE2"/>
    <w:rsid w:val="009858DC"/>
    <w:rsid w:val="00986166"/>
    <w:rsid w:val="00986B97"/>
    <w:rsid w:val="00992E2A"/>
    <w:rsid w:val="00993279"/>
    <w:rsid w:val="00994A41"/>
    <w:rsid w:val="00994CBA"/>
    <w:rsid w:val="0099570E"/>
    <w:rsid w:val="00996399"/>
    <w:rsid w:val="00997928"/>
    <w:rsid w:val="009A155B"/>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3388"/>
    <w:rsid w:val="009D45B9"/>
    <w:rsid w:val="009D460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5745"/>
    <w:rsid w:val="00A261CF"/>
    <w:rsid w:val="00A26720"/>
    <w:rsid w:val="00A275FE"/>
    <w:rsid w:val="00A3288C"/>
    <w:rsid w:val="00A33BD9"/>
    <w:rsid w:val="00A33BEC"/>
    <w:rsid w:val="00A3518B"/>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3EBC"/>
    <w:rsid w:val="00A842ED"/>
    <w:rsid w:val="00A86EB5"/>
    <w:rsid w:val="00A87178"/>
    <w:rsid w:val="00A908DE"/>
    <w:rsid w:val="00A91773"/>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C32"/>
    <w:rsid w:val="00AB0AAF"/>
    <w:rsid w:val="00AB1B62"/>
    <w:rsid w:val="00AB251B"/>
    <w:rsid w:val="00AB5108"/>
    <w:rsid w:val="00AB6222"/>
    <w:rsid w:val="00AB6D34"/>
    <w:rsid w:val="00AC16CA"/>
    <w:rsid w:val="00AC23CE"/>
    <w:rsid w:val="00AC24BF"/>
    <w:rsid w:val="00AC2A05"/>
    <w:rsid w:val="00AC5745"/>
    <w:rsid w:val="00AC5C52"/>
    <w:rsid w:val="00AC79A8"/>
    <w:rsid w:val="00AD21BD"/>
    <w:rsid w:val="00AD299E"/>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B00A42"/>
    <w:rsid w:val="00B031EF"/>
    <w:rsid w:val="00B1071B"/>
    <w:rsid w:val="00B10C9B"/>
    <w:rsid w:val="00B111FF"/>
    <w:rsid w:val="00B11405"/>
    <w:rsid w:val="00B1238C"/>
    <w:rsid w:val="00B125F3"/>
    <w:rsid w:val="00B138E9"/>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301E9"/>
    <w:rsid w:val="00B31A1E"/>
    <w:rsid w:val="00B34489"/>
    <w:rsid w:val="00B34BC1"/>
    <w:rsid w:val="00B34C4D"/>
    <w:rsid w:val="00B34FF8"/>
    <w:rsid w:val="00B355CE"/>
    <w:rsid w:val="00B40B98"/>
    <w:rsid w:val="00B41DB8"/>
    <w:rsid w:val="00B4265E"/>
    <w:rsid w:val="00B42C20"/>
    <w:rsid w:val="00B4364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CE9"/>
    <w:rsid w:val="00B87AB7"/>
    <w:rsid w:val="00B87CB7"/>
    <w:rsid w:val="00B9082A"/>
    <w:rsid w:val="00B92424"/>
    <w:rsid w:val="00B92CA1"/>
    <w:rsid w:val="00B9358E"/>
    <w:rsid w:val="00B96833"/>
    <w:rsid w:val="00BA403B"/>
    <w:rsid w:val="00BA5D4F"/>
    <w:rsid w:val="00BA6DAB"/>
    <w:rsid w:val="00BA72B7"/>
    <w:rsid w:val="00BA7674"/>
    <w:rsid w:val="00BB0837"/>
    <w:rsid w:val="00BB08C4"/>
    <w:rsid w:val="00BB193A"/>
    <w:rsid w:val="00BB2404"/>
    <w:rsid w:val="00BB2502"/>
    <w:rsid w:val="00BB74D1"/>
    <w:rsid w:val="00BC048A"/>
    <w:rsid w:val="00BC075D"/>
    <w:rsid w:val="00BC0B62"/>
    <w:rsid w:val="00BC1478"/>
    <w:rsid w:val="00BC1EF6"/>
    <w:rsid w:val="00BC34B2"/>
    <w:rsid w:val="00BC423F"/>
    <w:rsid w:val="00BC6343"/>
    <w:rsid w:val="00BD02B9"/>
    <w:rsid w:val="00BD14DA"/>
    <w:rsid w:val="00BD3F82"/>
    <w:rsid w:val="00BD72A5"/>
    <w:rsid w:val="00BE02A4"/>
    <w:rsid w:val="00BE101D"/>
    <w:rsid w:val="00BE22EC"/>
    <w:rsid w:val="00BE39D2"/>
    <w:rsid w:val="00BE5D22"/>
    <w:rsid w:val="00BE60D3"/>
    <w:rsid w:val="00BF012C"/>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33BB"/>
    <w:rsid w:val="00C33A75"/>
    <w:rsid w:val="00C3414C"/>
    <w:rsid w:val="00C34FD0"/>
    <w:rsid w:val="00C35189"/>
    <w:rsid w:val="00C35EB6"/>
    <w:rsid w:val="00C37263"/>
    <w:rsid w:val="00C3754E"/>
    <w:rsid w:val="00C37955"/>
    <w:rsid w:val="00C4105A"/>
    <w:rsid w:val="00C41F5F"/>
    <w:rsid w:val="00C46196"/>
    <w:rsid w:val="00C4782F"/>
    <w:rsid w:val="00C539D6"/>
    <w:rsid w:val="00C54365"/>
    <w:rsid w:val="00C5670C"/>
    <w:rsid w:val="00C573A9"/>
    <w:rsid w:val="00C6176C"/>
    <w:rsid w:val="00C619A6"/>
    <w:rsid w:val="00C625E3"/>
    <w:rsid w:val="00C6261B"/>
    <w:rsid w:val="00C6688B"/>
    <w:rsid w:val="00C67AE3"/>
    <w:rsid w:val="00C71BEB"/>
    <w:rsid w:val="00C73B24"/>
    <w:rsid w:val="00C73F48"/>
    <w:rsid w:val="00C74FB2"/>
    <w:rsid w:val="00C76070"/>
    <w:rsid w:val="00C76271"/>
    <w:rsid w:val="00C7760C"/>
    <w:rsid w:val="00C7772D"/>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78D0"/>
    <w:rsid w:val="00D01AC8"/>
    <w:rsid w:val="00D02F41"/>
    <w:rsid w:val="00D03790"/>
    <w:rsid w:val="00D043FC"/>
    <w:rsid w:val="00D06F00"/>
    <w:rsid w:val="00D11E58"/>
    <w:rsid w:val="00D12ECC"/>
    <w:rsid w:val="00D13605"/>
    <w:rsid w:val="00D14578"/>
    <w:rsid w:val="00D156DA"/>
    <w:rsid w:val="00D15DBF"/>
    <w:rsid w:val="00D16ABF"/>
    <w:rsid w:val="00D203E9"/>
    <w:rsid w:val="00D2186E"/>
    <w:rsid w:val="00D24465"/>
    <w:rsid w:val="00D244C6"/>
    <w:rsid w:val="00D2622A"/>
    <w:rsid w:val="00D26F95"/>
    <w:rsid w:val="00D27BF8"/>
    <w:rsid w:val="00D30D70"/>
    <w:rsid w:val="00D30FF6"/>
    <w:rsid w:val="00D31413"/>
    <w:rsid w:val="00D319C1"/>
    <w:rsid w:val="00D33B40"/>
    <w:rsid w:val="00D34178"/>
    <w:rsid w:val="00D344F3"/>
    <w:rsid w:val="00D34906"/>
    <w:rsid w:val="00D4062B"/>
    <w:rsid w:val="00D454CB"/>
    <w:rsid w:val="00D45F8E"/>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BB2"/>
    <w:rsid w:val="00DD2068"/>
    <w:rsid w:val="00DD3916"/>
    <w:rsid w:val="00DD49E6"/>
    <w:rsid w:val="00DD4C1B"/>
    <w:rsid w:val="00DD5F49"/>
    <w:rsid w:val="00DE1177"/>
    <w:rsid w:val="00DE3D2E"/>
    <w:rsid w:val="00DE7B01"/>
    <w:rsid w:val="00DF03AD"/>
    <w:rsid w:val="00DF402D"/>
    <w:rsid w:val="00DF4482"/>
    <w:rsid w:val="00DF667D"/>
    <w:rsid w:val="00E015A4"/>
    <w:rsid w:val="00E03BAC"/>
    <w:rsid w:val="00E046F1"/>
    <w:rsid w:val="00E055D4"/>
    <w:rsid w:val="00E05651"/>
    <w:rsid w:val="00E068AA"/>
    <w:rsid w:val="00E07986"/>
    <w:rsid w:val="00E106CC"/>
    <w:rsid w:val="00E10C4F"/>
    <w:rsid w:val="00E10EAE"/>
    <w:rsid w:val="00E15620"/>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51F76"/>
    <w:rsid w:val="00E52879"/>
    <w:rsid w:val="00E54B53"/>
    <w:rsid w:val="00E55791"/>
    <w:rsid w:val="00E56340"/>
    <w:rsid w:val="00E57106"/>
    <w:rsid w:val="00E6170E"/>
    <w:rsid w:val="00E62482"/>
    <w:rsid w:val="00E6249C"/>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5320"/>
    <w:rsid w:val="00EB6045"/>
    <w:rsid w:val="00EB6175"/>
    <w:rsid w:val="00EB70EA"/>
    <w:rsid w:val="00EC0192"/>
    <w:rsid w:val="00EC0DE2"/>
    <w:rsid w:val="00EC4E82"/>
    <w:rsid w:val="00EC4F0A"/>
    <w:rsid w:val="00EC4F91"/>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F069C"/>
    <w:rsid w:val="00EF11EE"/>
    <w:rsid w:val="00EF1CC2"/>
    <w:rsid w:val="00EF3666"/>
    <w:rsid w:val="00EF5EA5"/>
    <w:rsid w:val="00EF7509"/>
    <w:rsid w:val="00F019E9"/>
    <w:rsid w:val="00F01D0B"/>
    <w:rsid w:val="00F05DFC"/>
    <w:rsid w:val="00F072E8"/>
    <w:rsid w:val="00F07E82"/>
    <w:rsid w:val="00F131A3"/>
    <w:rsid w:val="00F143A1"/>
    <w:rsid w:val="00F1480F"/>
    <w:rsid w:val="00F16777"/>
    <w:rsid w:val="00F179F3"/>
    <w:rsid w:val="00F205EC"/>
    <w:rsid w:val="00F2072B"/>
    <w:rsid w:val="00F20C58"/>
    <w:rsid w:val="00F20CCC"/>
    <w:rsid w:val="00F220B3"/>
    <w:rsid w:val="00F223A2"/>
    <w:rsid w:val="00F34277"/>
    <w:rsid w:val="00F34FC6"/>
    <w:rsid w:val="00F35502"/>
    <w:rsid w:val="00F41A9A"/>
    <w:rsid w:val="00F4372E"/>
    <w:rsid w:val="00F4511B"/>
    <w:rsid w:val="00F453FE"/>
    <w:rsid w:val="00F458BC"/>
    <w:rsid w:val="00F50A28"/>
    <w:rsid w:val="00F514EB"/>
    <w:rsid w:val="00F52441"/>
    <w:rsid w:val="00F5276B"/>
    <w:rsid w:val="00F52F6A"/>
    <w:rsid w:val="00F54E9F"/>
    <w:rsid w:val="00F55280"/>
    <w:rsid w:val="00F55623"/>
    <w:rsid w:val="00F560DE"/>
    <w:rsid w:val="00F617EF"/>
    <w:rsid w:val="00F647FB"/>
    <w:rsid w:val="00F67EB8"/>
    <w:rsid w:val="00F7011F"/>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3EB"/>
    <w:rsid w:val="00F91A78"/>
    <w:rsid w:val="00F92143"/>
    <w:rsid w:val="00F93C9C"/>
    <w:rsid w:val="00F94146"/>
    <w:rsid w:val="00F95098"/>
    <w:rsid w:val="00F95A32"/>
    <w:rsid w:val="00FA2E97"/>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9B5"/>
    <w:rsid w:val="00FE6F09"/>
    <w:rsid w:val="00FF0DCD"/>
    <w:rsid w:val="00FF412D"/>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80A147E"/>
  <w15:docId w15:val="{DD562C04-9E68-4FC6-AA17-1DBBFA953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uiPriority w:val="9"/>
    <w:qFormat/>
    <w:pPr>
      <w:numPr>
        <w:numId w:val="0"/>
      </w:num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uiPriority w:val="9"/>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5BD20-82B0-4D7F-BD0F-91DA70C8C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10726</Words>
  <Characters>61142</Characters>
  <Application>Microsoft Office Word</Application>
  <DocSecurity>0</DocSecurity>
  <Lines>509</Lines>
  <Paragraphs>143</Paragraphs>
  <ScaleCrop>false</ScaleCrop>
  <Company/>
  <LinksUpToDate>false</LinksUpToDate>
  <CharactersWithSpaces>71725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12</cp:revision>
  <cp:lastPrinted>2025-03-22T01:23:00Z</cp:lastPrinted>
  <dcterms:created xsi:type="dcterms:W3CDTF">2025-11-07T07:05:00Z</dcterms:created>
  <dcterms:modified xsi:type="dcterms:W3CDTF">2025-11-07T07:53:00Z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DA2BED258D704E259798E9701ACAF62E</vt:lpwstr>
  </property>
</Properties>
</file>